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  <Override PartName="/word/header_watermark.xml" ContentType="application/vnd.openxmlformats-officedocument.wordprocessingml.head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3600"/>
      </w:pPr>
    </w:p>
    <w:p>
      <w:pPr>
        <w:spacing w:after="200"/>
        <w:jc w:val="center"/>
      </w:pPr>
      <w:r>
        <w:rPr>
          <w:rFonts w:ascii="Arial" w:cs="Arial" w:eastAsia="Arial" w:hAnsi="Arial"/>
          <w:b/>
          <w:bCs/>
          <w:color w:val="1B3A5C"/>
          <w:sz w:val="56"/>
          <w:szCs w:val="56"/>
        </w:rPr>
        <w:t xml:space="preserve">Google Analytics</w:t>
      </w:r>
    </w:p>
    <w:p>
      <w:pPr>
        <w:spacing w:after="400"/>
        <w:jc w:val="center"/>
      </w:pPr>
      <w:r>
        <w:rPr>
          <w:rFonts w:ascii="Arial" w:cs="Arial" w:eastAsia="Arial" w:hAnsi="Arial"/>
          <w:b/>
          <w:bCs/>
          <w:color w:val="2E5A88"/>
          <w:sz w:val="44"/>
          <w:szCs w:val="44"/>
        </w:rPr>
        <w:t xml:space="preserve">数据采集系统性排查手册</w:t>
      </w:r>
    </w:p>
    <w:p>
      <w:pPr>
        <w:spacing w:after="100"/>
        <w:jc w:val="center"/>
      </w:pPr>
      <w:r>
        <w:rPr>
          <w:rFonts w:ascii="Arial" w:cs="Arial" w:eastAsia="Arial" w:hAnsi="Arial"/>
          <w:color w:val="666666"/>
          <w:sz w:val="24"/>
          <w:szCs w:val="24"/>
        </w:rPr>
        <w:t xml:space="preserve">GA4 &amp; Universal Analytics 全维度数据质量诊断与修复指南</w:t>
      </w:r>
    </w:p>
    <w:p>
      <w:pPr>
        <w:spacing w:after="200"/>
        <w:jc w:val="center"/>
      </w:pPr>
      <w:r>
        <w:rPr>
          <w:rFonts w:ascii="Arial" w:cs="Arial" w:eastAsia="Arial" w:hAnsi="Arial"/>
          <w:color w:val="888888"/>
          <w:sz w:val="22"/>
          <w:szCs w:val="22"/>
        </w:rPr>
        <w:t xml:space="preserve">覆盖 Web + App 双端 | GTM + 直接部署 | 服务端跟踪</w:t>
      </w:r>
    </w:p>
    <w:p>
      <w:pPr>
        <w:spacing w:before="1200"/>
      </w:pPr>
    </w:p>
    <w:p>
      <w:pPr>
        <w:jc w:val="center"/>
      </w:pPr>
      <w:r>
        <w:rPr>
          <w:rFonts w:ascii="Arial" w:cs="Arial" w:eastAsia="Arial" w:hAnsi="Arial"/>
          <w:color w:val="999999"/>
          <w:sz w:val="20"/>
          <w:szCs w:val="20"/>
        </w:rPr>
        <w:t xml:space="preserve">版本：v1.0 | 2026年4月29日</w:t>
      </w:r>
    </w:p>
    <w:p>
      <w:r>
        <w:br w:type="page"/>
      </w:r>
    </w:p>
    <w:p>
      <w:pPr>
        <w:spacing w:after="300" w:before="200"/>
      </w:pPr>
      <w:r>
        <w:rPr>
          <w:rFonts w:ascii="Arial" w:cs="Arial" w:eastAsia="Arial" w:hAnsi="Arial"/>
          <w:b/>
          <w:bCs/>
          <w:color w:val="1B3A5C"/>
          <w:sz w:val="32"/>
          <w:szCs w:val="32"/>
        </w:rPr>
        <w:t xml:space="preserve">目录</w:t>
      </w:r>
    </w:p>
    <w:sdt>
      <w:sdtPr>
        <w:alias w:val="Table of Contents"/>
      </w:sdtPr>
      <w:sdtContent>
        <w:p>
          <w:r>
            <w:fldChar w:fldCharType="begin" w:dirty="true"/>
            <w:instrText xml:space="preserve">TOC \h \o "1-3"</w:instrText>
            <w:fldChar w:fldCharType="separate"/>
          </w:r>
        </w:p>
        <w:p>
          <w:r>
            <w:fldChar w:fldCharType="end"/>
          </w:r>
        </w:p>
      </w:sdtContent>
    </w:sdt>
    <w:p>
      <w:r>
        <w:br w:type="page"/>
      </w:r>
    </w:p>
    <w:p>
      <w:pPr>
        <w:pStyle w:val="Heading1"/>
        <w:spacing w:after="200" w:before="360"/>
      </w:pPr>
      <w:r>
        <w:rPr>
          <w:rFonts w:ascii="Arial" w:cs="Arial" w:eastAsia="Arial" w:hAnsi="Arial"/>
          <w:b/>
          <w:bCs/>
          <w:color w:val="1B3A5C"/>
          <w:sz w:val="32"/>
          <w:szCs w:val="32"/>
        </w:rPr>
        <w:t xml:space="preserve">1  排查概述与框架</w:t>
      </w:r>
    </w:p>
    <w:p>
      <w:pPr>
        <w:pStyle w:val="Heading2"/>
        <w:spacing w:after="160" w:before="280"/>
      </w:pPr>
      <w:r>
        <w:rPr>
          <w:rFonts w:ascii="Arial" w:cs="Arial" w:eastAsia="Arial" w:hAnsi="Arial"/>
          <w:b/>
          <w:bCs/>
          <w:color w:val="2E5A88"/>
          <w:sz w:val="26"/>
          <w:szCs w:val="26"/>
        </w:rPr>
        <w:t xml:space="preserve">1.1  什么是 (not set)</w:t>
      </w:r>
    </w:p>
    <w:p>
      <w:pPr>
        <w:spacing w:after="80" w:before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20"/>
          <w:szCs w:val="20"/>
        </w:rPr>
        <w:t xml:space="preserve">(not set) 是 Google Analytics 中的一个占位符，表示 GA 记录了一条数据，但无法将其与具体的维度值进行匹配。当某个数据维度没有可用值时，GA4 统一将其归类为 (not set)。这并不意味着数据丢失，而是说明数据采集链路中存在断裂。</w:t>
      </w:r>
    </w:p>
    <w:p>
      <w:pPr>
        <w:spacing w:after="80" w:before="80"/>
      </w:pPr>
      <w:r>
        <w:rPr>
          <w:rFonts w:ascii="Arial" w:cs="Arial" w:eastAsia="Arial" w:hAnsi="Arial"/>
          <w:b/>
          <w:bCs/>
          <w:i w:val="false"/>
          <w:iCs w:val="false"/>
          <w:color w:val="333333"/>
          <w:sz w:val="20"/>
          <w:szCs w:val="20"/>
        </w:rPr>
        <w:t xml:space="preserve">小量 (not set) 是正常的（通常 &lt;1%），但如果某个维度的 (not set) 比例超过 5%，则表明存在系统性问题，需要立即排查。</w:t>
      </w:r>
    </w:p>
    <w:p>
      <w:pPr>
        <w:pStyle w:val="Heading2"/>
        <w:spacing w:after="160" w:before="280"/>
      </w:pPr>
      <w:r>
        <w:rPr>
          <w:rFonts w:ascii="Arial" w:cs="Arial" w:eastAsia="Arial" w:hAnsi="Arial"/>
          <w:b/>
          <w:bCs/>
          <w:color w:val="2E5A88"/>
          <w:sz w:val="26"/>
          <w:szCs w:val="26"/>
        </w:rPr>
        <w:t xml:space="preserve">1.2  排查范围</w:t>
      </w:r>
    </w:p>
    <w:p>
      <w:pPr>
        <w:spacing w:after="80" w:before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20"/>
          <w:szCs w:val="20"/>
        </w:rPr>
        <w:t xml:space="preserve">本手册覆盖以下范围：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333333"/>
          <w:sz w:val="20"/>
          <w:szCs w:val="20"/>
        </w:rPr>
        <w:t xml:space="preserve">GA4（Google Analytics 4）——事件驱动模型，当前主流版本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333333"/>
          <w:sz w:val="20"/>
          <w:szCs w:val="20"/>
        </w:rPr>
        <w:t xml:space="preserve">UA（Universal Analytics）——已于 2023 年 7 月停止数据采集，但历史数据仍可查看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333333"/>
          <w:sz w:val="20"/>
          <w:szCs w:val="20"/>
        </w:rPr>
        <w:t xml:space="preserve">Web 端 + App 端（iOS / Android）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333333"/>
          <w:sz w:val="20"/>
          <w:szCs w:val="20"/>
        </w:rPr>
        <w:t xml:space="preserve">GTM（Google Tag Manager）部署 + 直接硬编码部署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333333"/>
          <w:sz w:val="20"/>
          <w:szCs w:val="20"/>
        </w:rPr>
        <w:t xml:space="preserve">服务端跟踪（Server-Side Tagging）</w:t>
      </w:r>
    </w:p>
    <w:p>
      <w:pPr>
        <w:pStyle w:val="Heading2"/>
        <w:spacing w:after="160" w:before="280"/>
      </w:pPr>
      <w:r>
        <w:rPr>
          <w:rFonts w:ascii="Arial" w:cs="Arial" w:eastAsia="Arial" w:hAnsi="Arial"/>
          <w:b/>
          <w:bCs/>
          <w:color w:val="2E5A88"/>
          <w:sz w:val="26"/>
          <w:szCs w:val="26"/>
        </w:rPr>
        <w:t xml:space="preserve">1.3  排查框架：七大数据维度</w:t>
      </w:r>
    </w:p>
    <w:p>
      <w:pPr>
        <w:spacing w:after="80" w:before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20"/>
          <w:szCs w:val="20"/>
        </w:rPr>
        <w:t xml:space="preserve">本手册按照以下七大数据维度进行系统性排查：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800"/>
        <w:gridCol w:w="2400"/>
        <w:gridCol w:w="2800"/>
        <w:gridCol w:w="3360"/>
      </w:tblGrid>
      <w:tr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B3A5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序号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B3A5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数据维度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B3A5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典型症状</w:t>
            </w:r>
          </w:p>
        </w:tc>
        <w:tc>
          <w:tcPr>
            <w:tcW w:type="dxa" w:w="3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B3A5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影响程度</w:t>
            </w:r>
          </w:p>
        </w:tc>
      </w:tr>
      <w:tr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1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地理位置数据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城市/地区显示 (not set)</w:t>
            </w:r>
          </w:p>
        </w:tc>
        <w:tc>
          <w:tcPr>
            <w:tcW w:type="dxa" w:w="3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高 — 直接影响受众分析</w:t>
            </w:r>
          </w:p>
        </w:tc>
      </w:tr>
      <w:tr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2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流量来源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Source/Medium 显示 (not set)</w:t>
            </w:r>
          </w:p>
        </w:tc>
        <w:tc>
          <w:tcPr>
            <w:tcW w:type="dxa" w:w="3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高 — 影响归因分析</w:t>
            </w:r>
          </w:p>
        </w:tc>
      </w:tr>
      <w:tr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3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用户属性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自定义维度显示 (not set)</w:t>
            </w:r>
          </w:p>
        </w:tc>
        <w:tc>
          <w:tcPr>
            <w:tcW w:type="dxa" w:w="3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中 — 影响用户画像</w:t>
            </w:r>
          </w:p>
        </w:tc>
      </w:tr>
      <w:tr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4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事件与转化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关键事件参数缺失</w:t>
            </w:r>
          </w:p>
        </w:tc>
        <w:tc>
          <w:tcPr>
            <w:tcW w:type="dxa" w:w="3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高 — 影响转化漏斗</w:t>
            </w:r>
          </w:p>
        </w:tc>
      </w:tr>
      <w:tr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5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页面与内容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Landing Page / Title (not set)</w:t>
            </w:r>
          </w:p>
        </w:tc>
        <w:tc>
          <w:tcPr>
            <w:tcW w:type="dxa" w:w="3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中 — 影响内容分析</w:t>
            </w:r>
          </w:p>
        </w:tc>
      </w:tr>
      <w:tr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6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广告归因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Google Ads 数据显示 (not set)</w:t>
            </w:r>
          </w:p>
        </w:tc>
        <w:tc>
          <w:tcPr>
            <w:tcW w:type="dxa" w:w="3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高 — 影响广告 ROI 分析</w:t>
            </w:r>
          </w:p>
        </w:tc>
      </w:tr>
      <w:tr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7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技术配置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跟踪代码未触发/重复触发</w:t>
            </w:r>
          </w:p>
        </w:tc>
        <w:tc>
          <w:tcPr>
            <w:tcW w:type="dxa" w:w="3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高 — 影响所有数据</w:t>
            </w:r>
          </w:p>
        </w:tc>
      </w:tr>
    </w:tbl>
    <w:p>
      <w:r>
        <w:br w:type="page"/>
      </w:r>
    </w:p>
    <w:p>
      <w:pPr>
        <w:pStyle w:val="Heading1"/>
        <w:spacing w:after="200" w:before="360"/>
      </w:pPr>
      <w:r>
        <w:rPr>
          <w:rFonts w:ascii="Arial" w:cs="Arial" w:eastAsia="Arial" w:hAnsi="Arial"/>
          <w:b/>
          <w:bCs/>
          <w:color w:val="1B3A5C"/>
          <w:sz w:val="32"/>
          <w:szCs w:val="32"/>
        </w:rPr>
        <w:t xml:space="preserve">2  地理位置数据 (not set)</w:t>
      </w:r>
    </w:p>
    <w:p>
      <w:pPr>
        <w:pStyle w:val="Heading2"/>
        <w:spacing w:after="160" w:before="280"/>
      </w:pPr>
      <w:r>
        <w:rPr>
          <w:rFonts w:ascii="Arial" w:cs="Arial" w:eastAsia="Arial" w:hAnsi="Arial"/>
          <w:b/>
          <w:bCs/>
          <w:color w:val="2E5A88"/>
          <w:sz w:val="26"/>
          <w:szCs w:val="26"/>
        </w:rPr>
        <w:t xml:space="preserve">2.1  问题描述</w:t>
      </w:r>
    </w:p>
    <w:p>
      <w:pPr>
        <w:spacing w:after="80" w:before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20"/>
          <w:szCs w:val="20"/>
        </w:rPr>
        <w:t xml:space="preserve">在 GA4 报告中，城市（City）、地区（Region）、国家（Country）等地理维度显示为 (not set)，导致无法准确分析用户分布。这是数据采集中最常见且影响最大的问题之一。</w:t>
      </w:r>
    </w:p>
    <w:p>
      <w:pPr>
        <w:pStyle w:val="Heading2"/>
        <w:spacing w:after="160" w:before="280"/>
      </w:pPr>
      <w:r>
        <w:rPr>
          <w:rFonts w:ascii="Arial" w:cs="Arial" w:eastAsia="Arial" w:hAnsi="Arial"/>
          <w:b/>
          <w:bCs/>
          <w:color w:val="2E5A88"/>
          <w:sz w:val="26"/>
          <w:szCs w:val="26"/>
        </w:rPr>
        <w:t xml:space="preserve">2.2  根因分析</w:t>
      </w:r>
    </w:p>
    <w:p>
      <w:pPr>
        <w:pStyle w:val="Heading3"/>
        <w:spacing w:after="120" w:before="200"/>
      </w:pPr>
      <w:r>
        <w:rPr>
          <w:rFonts w:ascii="Arial" w:cs="Arial" w:eastAsia="Arial" w:hAnsi="Arial"/>
          <w:b/>
          <w:bCs/>
          <w:color w:val="3A7CA5"/>
          <w:sz w:val="22"/>
          <w:szCs w:val="22"/>
        </w:rPr>
        <w:t xml:space="preserve">根因 1：Consent Mode 拒绝分析同意</w:t>
      </w:r>
    </w:p>
    <w:p>
      <w:pPr>
        <w:spacing w:after="80" w:before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20"/>
          <w:szCs w:val="20"/>
        </w:rPr>
        <w:t xml:space="preserve">当用户未同意分析（analytics_storage: denied）时，GA4 将不存储 Cookie 或识别 ID，事件以匿名化方式处理。由于地理位置数据依赖于 IP 地址解析，而匿名化模式下 IP 信息不可用，因此地理维度将显示为 (not set)。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2196F3" w:sz="2"/>
              <w:left w:val="single" w:color="2196F3" w:sz="6"/>
              <w:bottom w:val="single" w:color="CCCCCC" w:sz="1"/>
              <w:right w:val="single" w:color="CCCCCC" w:sz="1"/>
            </w:tcBorders>
            <w:shd w:fill="E3F2FD" w:val="clear"/>
            <w:tcMar>
              <w:top w:type="dxa" w:w="100"/>
              <w:left w:type="dxa" w:w="200"/>
              <w:bottom w:type="dxa" w:w="100"/>
              <w:right w:type="dxa" w:w="20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b/>
                <w:bCs/>
                <w:color w:val="1565C0"/>
                <w:sz w:val="20"/>
                <w:szCs w:val="20"/>
              </w:rPr>
              <w:t xml:space="preserve">影响范围</w:t>
            </w:r>
          </w:p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如果您的网站服务于欧洲用户（GDPR），并且未实施 Consent Mode v2，可能导致大量地理数据缺失。</w:t>
            </w:r>
          </w:p>
        </w:tc>
      </w:tr>
    </w:tbl>
    <w:p>
      <w:pPr>
        <w:pStyle w:val="Heading3"/>
        <w:spacing w:after="120" w:before="200"/>
      </w:pPr>
      <w:r>
        <w:rPr>
          <w:rFonts w:ascii="Arial" w:cs="Arial" w:eastAsia="Arial" w:hAnsi="Arial"/>
          <w:b/>
          <w:bCs/>
          <w:color w:val="3A7CA5"/>
          <w:sz w:val="22"/>
          <w:szCs w:val="22"/>
        </w:rPr>
        <w:t xml:space="preserve">根因 2：IP 匿名化配置</w:t>
      </w:r>
    </w:p>
    <w:p>
      <w:pPr>
        <w:spacing w:after="80" w:before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20"/>
          <w:szCs w:val="20"/>
        </w:rPr>
        <w:t xml:space="preserve">GA4 默认对 IP 地址进行匿名化处理（仅保留城市级别的地理信息）。如果在服务端跟踪中额外设置了 IP 匿名化，或者服务器未正确转发客户端 IP，则地理解析将失败。</w:t>
      </w:r>
    </w:p>
    <w:p>
      <w:pPr>
        <w:pStyle w:val="Heading3"/>
        <w:spacing w:after="120" w:before="200"/>
      </w:pPr>
      <w:r>
        <w:rPr>
          <w:rFonts w:ascii="Arial" w:cs="Arial" w:eastAsia="Arial" w:hAnsi="Arial"/>
          <w:b/>
          <w:bCs/>
          <w:color w:val="3A7CA5"/>
          <w:sz w:val="22"/>
          <w:szCs w:val="22"/>
        </w:rPr>
        <w:t xml:space="preserve">根因 3：服务端跟踪（SST）配置问题</w:t>
      </w:r>
    </w:p>
    <w:p>
      <w:pPr>
        <w:spacing w:after="80" w:before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20"/>
          <w:szCs w:val="20"/>
        </w:rPr>
        <w:t xml:space="preserve">如果使用服务端跟踪，服务器必须正确传递客户端的真实 IP 地址（通常通过 X-Forwarded-For 请求头）。如果服务器位于 CDN 或反向代理后面，可能传递的是中间节点的 IP 而非用户真实 IP。</w:t>
      </w:r>
    </w:p>
    <w:p>
      <w:pPr>
        <w:pStyle w:val="Heading3"/>
        <w:spacing w:after="120" w:before="200"/>
      </w:pPr>
      <w:r>
        <w:rPr>
          <w:rFonts w:ascii="Arial" w:cs="Arial" w:eastAsia="Arial" w:hAnsi="Arial"/>
          <w:b/>
          <w:bCs/>
          <w:color w:val="3A7CA5"/>
          <w:sz w:val="22"/>
          <w:szCs w:val="22"/>
        </w:rPr>
        <w:t xml:space="preserve">根因 4：VPN / 代理 / Tor 流量</w:t>
      </w:r>
    </w:p>
    <w:p>
      <w:pPr>
        <w:spacing w:after="80" w:before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20"/>
          <w:szCs w:val="20"/>
        </w:rPr>
        <w:t xml:space="preserve">使用 VPN、代理服务器或 Tor 的用户，其 IP 地址可能无法被正确解析到具体城市，尤其是当 VPN 服务器位于小型数据中心时。这部分流量通常占比较小，属于正常现象。</w:t>
      </w:r>
    </w:p>
    <w:p>
      <w:pPr>
        <w:pStyle w:val="Heading3"/>
        <w:spacing w:after="120" w:before="200"/>
      </w:pPr>
      <w:r>
        <w:rPr>
          <w:rFonts w:ascii="Arial" w:cs="Arial" w:eastAsia="Arial" w:hAnsi="Arial"/>
          <w:b/>
          <w:bCs/>
          <w:color w:val="3A7CA5"/>
          <w:sz w:val="22"/>
          <w:szCs w:val="22"/>
        </w:rPr>
        <w:t xml:space="preserve">根因 5：App 端缺少位置权限</w:t>
      </w:r>
    </w:p>
    <w:p>
      <w:pPr>
        <w:spacing w:after="80" w:before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20"/>
          <w:szCs w:val="20"/>
        </w:rPr>
        <w:t xml:space="preserve">对于移动应用，GA4 依赖于设备的位置服务。如果应用未请求位置权限或用户拒绝了位置权限，GA4 将无法获取精确地理位置，可能回退到 IP 解析或显示 (not set)。</w:t>
      </w:r>
    </w:p>
    <w:p>
      <w:pPr>
        <w:pStyle w:val="Heading2"/>
        <w:spacing w:after="160" w:before="280"/>
      </w:pPr>
      <w:r>
        <w:rPr>
          <w:rFonts w:ascii="Arial" w:cs="Arial" w:eastAsia="Arial" w:hAnsi="Arial"/>
          <w:b/>
          <w:bCs/>
          <w:color w:val="2E5A88"/>
          <w:sz w:val="26"/>
          <w:szCs w:val="26"/>
        </w:rPr>
        <w:t xml:space="preserve">2.3  排查步骤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1200"/>
        <w:gridCol w:w="4560"/>
        <w:gridCol w:w="3000"/>
      </w:tblGrid>
      <w:tr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B3A5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步骤</w:t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B3A5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检查项</w:t>
            </w:r>
          </w:p>
        </w:tc>
        <w:tc>
          <w:tcPr>
            <w:tcW w:type="dxa" w:w="4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B3A5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操作说明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B3A5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判断标准</w:t>
            </w:r>
          </w:p>
        </w:tc>
      </w:tr>
      <w:tr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1</w:t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Consent 状态</w:t>
            </w:r>
          </w:p>
        </w:tc>
        <w:tc>
          <w:tcPr>
            <w:tcW w:type="dxa" w:w="4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检查网站是否已实施 Consent Mode</w:t>
            </w:r>
          </w:p>
          <w:p>
            <w:pPr>
              <w:spacing w:after="40" w:before="40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路径：GA4 管理后台 &gt; 数据流 &gt; 数据收集 &gt; 同意模式</w:t>
            </w:r>
          </w:p>
          <w:p>
            <w:pPr>
              <w:spacing w:after="40" w:before="40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确认是否已升级到 Consent Mode v2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已启用 CM v2，并正确配置 ad_storage 和 analytics_storage</w:t>
            </w:r>
          </w:p>
        </w:tc>
      </w:tr>
      <w:tr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2</w:t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IP 匿名化</w:t>
            </w:r>
          </w:p>
        </w:tc>
        <w:tc>
          <w:tcPr>
            <w:tcW w:type="dxa" w:w="4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检查是否在多层配置了 IP 匿名化</w:t>
            </w:r>
          </w:p>
          <w:p>
            <w:pPr>
              <w:spacing w:after="40" w:before="40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服务端跟踪：确认服务器是否正确转发客户端 IP</w:t>
            </w:r>
          </w:p>
          <w:p>
            <w:pPr>
              <w:spacing w:after="40" w:before="40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检查 X-Forwarded-For 请求头是否包含真实 IP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仅 GA4 内置匿名化，服务端不额外匿名化</w:t>
            </w:r>
          </w:p>
        </w:tc>
      </w:tr>
      <w:tr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3</w:t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CDN / 代理</w:t>
            </w:r>
          </w:p>
        </w:tc>
        <w:tc>
          <w:tcPr>
            <w:tcW w:type="dxa" w:w="4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检查服务器架构，确认是否有 CDN / 反向代理</w:t>
            </w:r>
          </w:p>
          <w:p>
            <w:pPr>
              <w:spacing w:after="40" w:before="40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确认 CDN 是否正确传递 X-Forwarded-For</w:t>
            </w:r>
          </w:p>
          <w:p>
            <w:pPr>
              <w:spacing w:after="40" w:before="40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使用 GA DebugView 验证事件参数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CDN 正确转发客户端真实 IP</w:t>
            </w:r>
          </w:p>
        </w:tc>
      </w:tr>
      <w:tr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4</w:t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App 权限</w:t>
            </w:r>
          </w:p>
        </w:tc>
        <w:tc>
          <w:tcPr>
            <w:tcW w:type="dxa" w:w="4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iOS: 检查 Info.plist 中是否包含 NSLocationWhenInUseUsageDescription</w:t>
            </w:r>
          </w:p>
          <w:p>
            <w:pPr>
              <w:spacing w:after="40" w:before="40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Android: 检查 AndroidManifest.xml 中是否声明了位置权限</w:t>
            </w:r>
          </w:p>
          <w:p>
            <w:pPr>
              <w:spacing w:after="40" w:before="40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确认应用在运行时请求了位置权限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应用已正确请求并处理位置权限</w:t>
            </w:r>
          </w:p>
        </w:tc>
      </w:tr>
      <w:tr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5</w:t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数据验证</w:t>
            </w:r>
          </w:p>
        </w:tc>
        <w:tc>
          <w:tcPr>
            <w:tcW w:type="dxa" w:w="4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导出 BigQuery 数据，查看 geo 字段的缺失率</w:t>
            </w:r>
          </w:p>
          <w:p>
            <w:pPr>
              <w:spacing w:after="40" w:before="40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对比 (not set) 的时间分布，判断是否与 Consent 拒绝率相关</w:t>
            </w:r>
          </w:p>
          <w:p>
            <w:pPr>
              <w:spacing w:after="40" w:before="40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使用 GA4 DebugView 实时检查事件参数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(not set) 比例 &lt; 5%，且无异常波动</w:t>
            </w:r>
          </w:p>
        </w:tc>
      </w:tr>
    </w:tbl>
    <w:p>
      <w:pPr>
        <w:pStyle w:val="Heading2"/>
        <w:spacing w:after="160" w:before="280"/>
      </w:pPr>
      <w:r>
        <w:rPr>
          <w:rFonts w:ascii="Arial" w:cs="Arial" w:eastAsia="Arial" w:hAnsi="Arial"/>
          <w:b/>
          <w:bCs/>
          <w:color w:val="2E5A88"/>
          <w:sz w:val="26"/>
          <w:szCs w:val="26"/>
        </w:rPr>
        <w:t xml:space="preserve">2.4  修复方案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cs="Arial" w:eastAsia="Arial" w:hAnsi="Arial"/>
          <w:color w:val="333333"/>
          <w:sz w:val="20"/>
          <w:szCs w:val="20"/>
        </w:rPr>
        <w:t xml:space="preserve">实施 Consent Mode v2：确保 CMP（同意管理平台）正确集成，并在 GTM 中配置同意初始化。当用户同意后，GA4 将自动恢复完整数据采集。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cs="Arial" w:eastAsia="Arial" w:hAnsi="Arial"/>
          <w:color w:val="333333"/>
          <w:sz w:val="20"/>
          <w:szCs w:val="20"/>
        </w:rPr>
        <w:t xml:space="preserve">优化 CMP 设计：将地理位置数据采集的必要性在同意弹窗中明确说明，提高用户同意率。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cs="Arial" w:eastAsia="Arial" w:hAnsi="Arial"/>
          <w:color w:val="333333"/>
          <w:sz w:val="20"/>
          <w:szCs w:val="20"/>
        </w:rPr>
        <w:t xml:space="preserve">服务端跟踪修复：确保服务器将 X-Forwarded-For 中的客户端 IP 正确传递给 GA4。可以通过在 GA4 服务器容器中配置 ip_override 参数来解决。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cs="Arial" w:eastAsia="Arial" w:hAnsi="Arial"/>
          <w:color w:val="333333"/>
          <w:sz w:val="20"/>
          <w:szCs w:val="20"/>
        </w:rPr>
        <w:t xml:space="preserve">App 端修复：在应用启动时合理请求位置权限，并在隐私政策中明确说明用途。</w:t>
      </w:r>
    </w:p>
    <w:p>
      <w:r>
        <w:br w:type="page"/>
      </w:r>
    </w:p>
    <w:p>
      <w:pPr>
        <w:pStyle w:val="Heading1"/>
        <w:spacing w:after="200" w:before="360"/>
      </w:pPr>
      <w:r>
        <w:rPr>
          <w:rFonts w:ascii="Arial" w:cs="Arial" w:eastAsia="Arial" w:hAnsi="Arial"/>
          <w:b/>
          <w:bCs/>
          <w:color w:val="1B3A5C"/>
          <w:sz w:val="32"/>
          <w:szCs w:val="32"/>
        </w:rPr>
        <w:t xml:space="preserve">3  流量来源 (not set)</w:t>
      </w:r>
    </w:p>
    <w:p>
      <w:pPr>
        <w:pStyle w:val="Heading2"/>
        <w:spacing w:after="160" w:before="280"/>
      </w:pPr>
      <w:r>
        <w:rPr>
          <w:rFonts w:ascii="Arial" w:cs="Arial" w:eastAsia="Arial" w:hAnsi="Arial"/>
          <w:b/>
          <w:bCs/>
          <w:color w:val="2E5A88"/>
          <w:sz w:val="26"/>
          <w:szCs w:val="26"/>
        </w:rPr>
        <w:t xml:space="preserve">3.1  问题描述</w:t>
      </w:r>
    </w:p>
    <w:p>
      <w:pPr>
        <w:spacing w:after="80" w:before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20"/>
          <w:szCs w:val="20"/>
        </w:rPr>
        <w:t xml:space="preserve">在 Traffic Acquisition 报告中，Session Source / Medium 显示为 (not set)，并被归类到默认渠道组的 Unassigned 中。这将直接影响流量归因分析的准确性。</w:t>
      </w:r>
    </w:p>
    <w:p>
      <w:pPr>
        <w:pStyle w:val="Heading2"/>
        <w:spacing w:after="160" w:before="280"/>
      </w:pPr>
      <w:r>
        <w:rPr>
          <w:rFonts w:ascii="Arial" w:cs="Arial" w:eastAsia="Arial" w:hAnsi="Arial"/>
          <w:b/>
          <w:bCs/>
          <w:color w:val="2E5A88"/>
          <w:sz w:val="26"/>
          <w:szCs w:val="26"/>
        </w:rPr>
        <w:t xml:space="preserve">3.2  根因分析</w:t>
      </w:r>
    </w:p>
    <w:p>
      <w:pPr>
        <w:pStyle w:val="Heading3"/>
        <w:spacing w:after="120" w:before="200"/>
      </w:pPr>
      <w:r>
        <w:rPr>
          <w:rFonts w:ascii="Arial" w:cs="Arial" w:eastAsia="Arial" w:hAnsi="Arial"/>
          <w:b/>
          <w:bCs/>
          <w:color w:val="3A7CA5"/>
          <w:sz w:val="22"/>
          <w:szCs w:val="22"/>
        </w:rPr>
        <w:t xml:space="preserve">根因 1：UTM 参数配置错误</w:t>
      </w:r>
    </w:p>
    <w:p>
      <w:pPr>
        <w:spacing w:after="80" w:before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20"/>
          <w:szCs w:val="20"/>
        </w:rPr>
        <w:t xml:space="preserve">手动添加的 UTM 参数缺少必要字段（如 utm_source、utm_medium），或参数拼写错误、大小写不规范等。这是导致 Source/Medium (not set) 最常见的原因。</w:t>
      </w:r>
    </w:p>
    <w:p>
      <w:pPr>
        <w:pStyle w:val="Heading3"/>
        <w:spacing w:after="120" w:before="200"/>
      </w:pPr>
      <w:r>
        <w:rPr>
          <w:rFonts w:ascii="Arial" w:cs="Arial" w:eastAsia="Arial" w:hAnsi="Arial"/>
          <w:b/>
          <w:bCs/>
          <w:color w:val="3A7CA5"/>
          <w:sz w:val="22"/>
          <w:szCs w:val="22"/>
        </w:rPr>
        <w:t xml:space="preserve">根因 2：URL 重定向丢失参数</w:t>
      </w:r>
    </w:p>
    <w:p>
      <w:pPr>
        <w:spacing w:after="80" w:before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20"/>
          <w:szCs w:val="20"/>
        </w:rPr>
        <w:t xml:space="preserve">广告的目标 URL 存在重定向，但重定向过程中未保留 UTM 参数。例如：产品页面停用后重定向到新页面，但未将原始 URL 参数传递过去。</w:t>
      </w:r>
    </w:p>
    <w:p>
      <w:pPr>
        <w:pStyle w:val="Heading3"/>
        <w:spacing w:after="120" w:before="200"/>
      </w:pPr>
      <w:r>
        <w:rPr>
          <w:rFonts w:ascii="Arial" w:cs="Arial" w:eastAsia="Arial" w:hAnsi="Arial"/>
          <w:b/>
          <w:bCs/>
          <w:color w:val="3A7CA5"/>
          <w:sz w:val="22"/>
          <w:szCs w:val="22"/>
        </w:rPr>
        <w:t xml:space="preserve">根因 3：Session_start 事件丢失</w:t>
      </w:r>
    </w:p>
    <w:p>
      <w:pPr>
        <w:spacing w:after="80" w:before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20"/>
          <w:szCs w:val="20"/>
        </w:rPr>
        <w:t xml:space="preserve">GA4 的流量来源基于 session_start 事件进行归因。如果 session_start 事件未被正确触发（如网页加载时 GA4 代码未执行），则无法记录流量来源。影响数据量通常较小。</w:t>
      </w:r>
    </w:p>
    <w:p>
      <w:pPr>
        <w:pStyle w:val="Heading3"/>
        <w:spacing w:after="120" w:before="200"/>
      </w:pPr>
      <w:r>
        <w:rPr>
          <w:rFonts w:ascii="Arial" w:cs="Arial" w:eastAsia="Arial" w:hAnsi="Arial"/>
          <w:b/>
          <w:bCs/>
          <w:color w:val="3A7CA5"/>
          <w:sz w:val="22"/>
          <w:szCs w:val="22"/>
        </w:rPr>
        <w:t xml:space="preserve">根因 4：跨域跟踪配置错误</w:t>
      </w:r>
    </w:p>
    <w:p>
      <w:pPr>
        <w:spacing w:after="80" w:before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20"/>
          <w:szCs w:val="20"/>
        </w:rPr>
        <w:t xml:space="preserve">当用户从子域名跳转到主域名（或反之）时，如果未正确配置跨域跟踪，GA4 将创建新的会话，导致原始流量来源信息丢失。</w:t>
      </w:r>
    </w:p>
    <w:p>
      <w:pPr>
        <w:pStyle w:val="Heading3"/>
        <w:spacing w:after="120" w:before="200"/>
      </w:pPr>
      <w:r>
        <w:rPr>
          <w:rFonts w:ascii="Arial" w:cs="Arial" w:eastAsia="Arial" w:hAnsi="Arial"/>
          <w:b/>
          <w:bCs/>
          <w:color w:val="3A7CA5"/>
          <w:sz w:val="22"/>
          <w:szCs w:val="22"/>
        </w:rPr>
        <w:t xml:space="preserve">根因 5：Consent Mode 影响</w:t>
      </w:r>
    </w:p>
    <w:p>
      <w:pPr>
        <w:spacing w:after="80" w:before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20"/>
          <w:szCs w:val="20"/>
        </w:rPr>
        <w:t xml:space="preserve">当 ad_storage: denied 时，GA4 无法读取广告相关的 Cookie（如 gclid），导致无法将流量正确归因到 Google Ads 等广告渠道。</w:t>
      </w:r>
    </w:p>
    <w:p>
      <w:pPr>
        <w:pStyle w:val="Heading2"/>
        <w:spacing w:after="160" w:before="280"/>
      </w:pPr>
      <w:r>
        <w:rPr>
          <w:rFonts w:ascii="Arial" w:cs="Arial" w:eastAsia="Arial" w:hAnsi="Arial"/>
          <w:b/>
          <w:bCs/>
          <w:color w:val="2E5A88"/>
          <w:sz w:val="26"/>
          <w:szCs w:val="26"/>
        </w:rPr>
        <w:t xml:space="preserve">3.3  排查步骤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1200"/>
        <w:gridCol w:w="4560"/>
        <w:gridCol w:w="3000"/>
      </w:tblGrid>
      <w:tr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B3A5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步骤</w:t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B3A5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检查项</w:t>
            </w:r>
          </w:p>
        </w:tc>
        <w:tc>
          <w:tcPr>
            <w:tcW w:type="dxa" w:w="4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B3A5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操作说明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B3A5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判断标准</w:t>
            </w:r>
          </w:p>
        </w:tc>
      </w:tr>
      <w:tr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1</w:t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UTM 参数</w:t>
            </w:r>
          </w:p>
        </w:tc>
        <w:tc>
          <w:tcPr>
            <w:tcW w:type="dxa" w:w="4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使用 Google Campaign URL Builder 生成标准 UTM 链接</w:t>
            </w:r>
          </w:p>
          <w:p>
            <w:pPr>
              <w:spacing w:after="40" w:before="40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检查所有广告、邮件、社交媒体链接的 UTM 参数</w:t>
            </w:r>
          </w:p>
          <w:p>
            <w:pPr>
              <w:spacing w:after="40" w:before="40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确保 utm_source 和 utm_medium 必填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所有外部链接均包含完整 UTM 参数</w:t>
            </w:r>
          </w:p>
        </w:tc>
      </w:tr>
      <w:tr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2</w:t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URL 重定向</w:t>
            </w:r>
          </w:p>
        </w:tc>
        <w:tc>
          <w:tcPr>
            <w:tcW w:type="dxa" w:w="4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使用 Redirect Detective 或类似工具检查目标 URL</w:t>
            </w:r>
          </w:p>
          <w:p>
            <w:pPr>
              <w:spacing w:after="40" w:before="40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确认重定向链中是否保留了查询参数</w:t>
            </w:r>
          </w:p>
          <w:p>
            <w:pPr>
              <w:spacing w:after="40" w:before="40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修复服务器配置，确保参数传递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所有重定向链接均保留 UTM 参数</w:t>
            </w:r>
          </w:p>
        </w:tc>
      </w:tr>
      <w:tr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3</w:t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跨域跟踪</w:t>
            </w:r>
          </w:p>
        </w:tc>
        <w:tc>
          <w:tcPr>
            <w:tcW w:type="dxa" w:w="4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GA4: 管理后台 &gt; 数据流 &gt; 配置更多标记设置</w:t>
            </w:r>
          </w:p>
          <w:p>
            <w:pPr>
              <w:spacing w:after="40" w:before="40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确认所有域名均已添加</w:t>
            </w:r>
          </w:p>
          <w:p>
            <w:pPr>
              <w:spacing w:after="40" w:before="40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GTM: 检查 GA4 配置中的跨域跟踪设置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所有相关域名均已配置跨域跟踪</w:t>
            </w:r>
          </w:p>
        </w:tc>
      </w:tr>
      <w:tr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4</w:t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引荐排除</w:t>
            </w:r>
          </w:p>
        </w:tc>
        <w:tc>
          <w:tcPr>
            <w:tcW w:type="dxa" w:w="4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GA4: 管理后台 &gt; 数据流 &gt; 配置更多标记设置</w:t>
            </w:r>
          </w:p>
          <w:p>
            <w:pPr>
              <w:spacing w:after="40" w:before="40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将内部域名（如支付网关）添加到引荐排除列表</w:t>
            </w:r>
          </w:p>
          <w:p>
            <w:pPr>
              <w:spacing w:after="40" w:before="40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避免内部跳转被计为推荐流量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内部域名均已添加到排除列表</w:t>
            </w:r>
          </w:p>
        </w:tc>
      </w:tr>
    </w:tbl>
    <w:p>
      <w:pPr>
        <w:pStyle w:val="Heading2"/>
        <w:spacing w:after="160" w:before="280"/>
      </w:pPr>
      <w:r>
        <w:rPr>
          <w:rFonts w:ascii="Arial" w:cs="Arial" w:eastAsia="Arial" w:hAnsi="Arial"/>
          <w:b/>
          <w:bCs/>
          <w:color w:val="2E5A88"/>
          <w:sz w:val="26"/>
          <w:szCs w:val="26"/>
        </w:rPr>
        <w:t xml:space="preserve">3.4  修复方案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cs="Arial" w:eastAsia="Arial" w:hAnsi="Arial"/>
          <w:color w:val="333333"/>
          <w:sz w:val="20"/>
          <w:szCs w:val="20"/>
        </w:rPr>
        <w:t xml:space="preserve">统一 UTM 管理：建立 UTM 参数命名规范，使用工具生成链接，避免手动拼写。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cs="Arial" w:eastAsia="Arial" w:hAnsi="Arial"/>
          <w:color w:val="333333"/>
          <w:sz w:val="20"/>
          <w:szCs w:val="20"/>
        </w:rPr>
        <w:t xml:space="preserve">修复重定向：确保服务器级重定向保留查询字符串（query string）。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cs="Arial" w:eastAsia="Arial" w:hAnsi="Arial"/>
          <w:color w:val="333333"/>
          <w:sz w:val="20"/>
          <w:szCs w:val="20"/>
        </w:rPr>
        <w:t xml:space="preserve">配置跨域跟踪：在 GA4 管理后台添加所有相关域名，并在 GTM 中配置跨域链接器。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cs="Arial" w:eastAsia="Arial" w:hAnsi="Arial"/>
          <w:color w:val="333333"/>
          <w:sz w:val="20"/>
          <w:szCs w:val="20"/>
        </w:rPr>
        <w:t xml:space="preserve">启用 Consent Mode v2：确保广告归因数据在用户同意后可以被正确收集。</w:t>
      </w:r>
    </w:p>
    <w:p>
      <w:r>
        <w:br w:type="page"/>
      </w:r>
    </w:p>
    <w:p>
      <w:pPr>
        <w:pStyle w:val="Heading1"/>
        <w:spacing w:after="200" w:before="360"/>
      </w:pPr>
      <w:r>
        <w:rPr>
          <w:rFonts w:ascii="Arial" w:cs="Arial" w:eastAsia="Arial" w:hAnsi="Arial"/>
          <w:b/>
          <w:bCs/>
          <w:color w:val="1B3A5C"/>
          <w:sz w:val="32"/>
          <w:szCs w:val="32"/>
        </w:rPr>
        <w:t xml:space="preserve">4  用户属性与自定义维度 (not set)</w:t>
      </w:r>
    </w:p>
    <w:p>
      <w:pPr>
        <w:pStyle w:val="Heading2"/>
        <w:spacing w:after="160" w:before="280"/>
      </w:pPr>
      <w:r>
        <w:rPr>
          <w:rFonts w:ascii="Arial" w:cs="Arial" w:eastAsia="Arial" w:hAnsi="Arial"/>
          <w:b/>
          <w:bCs/>
          <w:color w:val="2E5A88"/>
          <w:sz w:val="26"/>
          <w:szCs w:val="26"/>
        </w:rPr>
        <w:t xml:space="preserve">4.1  问题描述</w:t>
      </w:r>
    </w:p>
    <w:p>
      <w:pPr>
        <w:spacing w:after="80" w:before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20"/>
          <w:szCs w:val="20"/>
        </w:rPr>
        <w:t xml:space="preserve">自定义的用户属性（User Properties）或自定义维度显示为 (not set)，导致用户分群和画像分析不准确。</w:t>
      </w:r>
    </w:p>
    <w:p>
      <w:pPr>
        <w:pStyle w:val="Heading2"/>
        <w:spacing w:after="160" w:before="280"/>
      </w:pPr>
      <w:r>
        <w:rPr>
          <w:rFonts w:ascii="Arial" w:cs="Arial" w:eastAsia="Arial" w:hAnsi="Arial"/>
          <w:b/>
          <w:bCs/>
          <w:color w:val="2E5A88"/>
          <w:sz w:val="26"/>
          <w:szCs w:val="26"/>
        </w:rPr>
        <w:t xml:space="preserve">4.2  根因分析</w:t>
      </w:r>
    </w:p>
    <w:p>
      <w:pPr>
        <w:pStyle w:val="Heading3"/>
        <w:spacing w:after="120" w:before="200"/>
      </w:pPr>
      <w:r>
        <w:rPr>
          <w:rFonts w:ascii="Arial" w:cs="Arial" w:eastAsia="Arial" w:hAnsi="Arial"/>
          <w:b/>
          <w:bCs/>
          <w:color w:val="3A7CA5"/>
          <w:sz w:val="22"/>
          <w:szCs w:val="22"/>
        </w:rPr>
        <w:t xml:space="preserve">根因 1：自定义维度未注册</w:t>
      </w:r>
    </w:p>
    <w:p>
      <w:pPr>
        <w:spacing w:after="80" w:before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20"/>
          <w:szCs w:val="20"/>
        </w:rPr>
        <w:t xml:space="preserve">在 GA4 管理后台中未创建自定义维度定义，或者事件参数名称与自定义维度定义不匹配。GA4 中自定义维度需要先在管理后台注册，然后通过事件参数或用户属性传递数据。</w:t>
      </w:r>
    </w:p>
    <w:p>
      <w:pPr>
        <w:pStyle w:val="Heading3"/>
        <w:spacing w:after="120" w:before="200"/>
      </w:pPr>
      <w:r>
        <w:rPr>
          <w:rFonts w:ascii="Arial" w:cs="Arial" w:eastAsia="Arial" w:hAnsi="Arial"/>
          <w:b/>
          <w:bCs/>
          <w:color w:val="3A7CA5"/>
          <w:sz w:val="22"/>
          <w:szCs w:val="22"/>
        </w:rPr>
        <w:t xml:space="preserve">根因 2：数据层推送时机错误</w:t>
      </w:r>
    </w:p>
    <w:p>
      <w:pPr>
        <w:spacing w:after="80" w:before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20"/>
          <w:szCs w:val="20"/>
        </w:rPr>
        <w:t xml:space="preserve">通过 GTM 时，如果 dataLayer.push() 的时机晚于 GA4 事件触发，则自定义参数将不会被包含在事件中。常见于单页应用（SPA）中的异步加载场景。</w:t>
      </w:r>
    </w:p>
    <w:p>
      <w:pPr>
        <w:pStyle w:val="Heading3"/>
        <w:spacing w:after="120" w:before="200"/>
      </w:pPr>
      <w:r>
        <w:rPr>
          <w:rFonts w:ascii="Arial" w:cs="Arial" w:eastAsia="Arial" w:hAnsi="Arial"/>
          <w:b/>
          <w:bCs/>
          <w:color w:val="3A7CA5"/>
          <w:sz w:val="22"/>
          <w:szCs w:val="22"/>
        </w:rPr>
        <w:t xml:space="preserve">根因 3：用户 ID 未设置</w:t>
      </w:r>
    </w:p>
    <w:p>
      <w:pPr>
        <w:spacing w:after="80" w:before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20"/>
          <w:szCs w:val="20"/>
        </w:rPr>
        <w:t xml:space="preserve">如果未设置 User-ID 功能，GA4 将无法跨设备识别用户，导致用户属性无法正确关联。</w:t>
      </w:r>
    </w:p>
    <w:p>
      <w:pPr>
        <w:pStyle w:val="Heading3"/>
        <w:spacing w:after="120" w:before="200"/>
      </w:pPr>
      <w:r>
        <w:rPr>
          <w:rFonts w:ascii="Arial" w:cs="Arial" w:eastAsia="Arial" w:hAnsi="Arial"/>
          <w:b/>
          <w:bCs/>
          <w:color w:val="3A7CA5"/>
          <w:sz w:val="22"/>
          <w:szCs w:val="22"/>
        </w:rPr>
        <w:t xml:space="preserve">根因 4：数据处理规则过滤</w:t>
      </w:r>
    </w:p>
    <w:p>
      <w:pPr>
        <w:spacing w:after="80" w:before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20"/>
          <w:szCs w:val="20"/>
        </w:rPr>
        <w:t xml:space="preserve">GA4 管理后台中配置的数据过滤规则可能过滤掉了某些事件，导致关联的自定义维度也不可见。</w:t>
      </w:r>
    </w:p>
    <w:p>
      <w:pPr>
        <w:pStyle w:val="Heading2"/>
        <w:spacing w:after="160" w:before="280"/>
      </w:pPr>
      <w:r>
        <w:rPr>
          <w:rFonts w:ascii="Arial" w:cs="Arial" w:eastAsia="Arial" w:hAnsi="Arial"/>
          <w:b/>
          <w:bCs/>
          <w:color w:val="2E5A88"/>
          <w:sz w:val="26"/>
          <w:szCs w:val="26"/>
        </w:rPr>
        <w:t xml:space="preserve">4.3  排查步骤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1400"/>
        <w:gridCol w:w="4360"/>
        <w:gridCol w:w="3000"/>
      </w:tblGrid>
      <w:tr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B3A5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步骤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B3A5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检查项</w:t>
            </w:r>
          </w:p>
        </w:tc>
        <w:tc>
          <w:tcPr>
            <w:tcW w:type="dxa" w:w="4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B3A5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操作说明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B3A5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判断标准</w:t>
            </w:r>
          </w:p>
        </w:tc>
      </w:tr>
      <w:tr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1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维度注册</w:t>
            </w:r>
          </w:p>
        </w:tc>
        <w:tc>
          <w:tcPr>
            <w:tcW w:type="dxa" w:w="4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GA4 &gt; 管理 &gt; 自定义定义</w:t>
            </w:r>
          </w:p>
          <w:p>
            <w:pPr>
              <w:spacing w:after="40" w:before="40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确认所有自定义维度已创建</w:t>
            </w:r>
          </w:p>
          <w:p>
            <w:pPr>
              <w:spacing w:after="40" w:before="40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检查事件参数名称是否与维度定义匹配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所有自定义维度均已注册且名称一致</w:t>
            </w:r>
          </w:p>
        </w:tc>
      </w:tr>
      <w:tr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2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DataLayer 时序</w:t>
            </w:r>
          </w:p>
        </w:tc>
        <w:tc>
          <w:tcPr>
            <w:tcW w:type="dxa" w:w="4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使用 GTM Preview 模式检查事件触发顺序</w:t>
            </w:r>
          </w:p>
          <w:p>
            <w:pPr>
              <w:spacing w:after="40" w:before="40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确认 dataLayer.push() 在 GA4 事件之前执行</w:t>
            </w:r>
          </w:p>
          <w:p>
            <w:pPr>
              <w:spacing w:after="40" w:before="40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对于 SPA，确保路由变化后先推送数据再触发事件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DataLayer 数据在 GA4 事件触发前已就绪</w:t>
            </w:r>
          </w:p>
        </w:tc>
      </w:tr>
      <w:tr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3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User-ID</w:t>
            </w:r>
          </w:p>
        </w:tc>
        <w:tc>
          <w:tcPr>
            <w:tcW w:type="dxa" w:w="4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GA4 &gt; 管理 &gt; 数据流 &gt; 配置</w:t>
            </w:r>
          </w:p>
          <w:p>
            <w:pPr>
              <w:spacing w:after="40" w:before="40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确认 User-ID 功能已启用</w:t>
            </w:r>
          </w:p>
          <w:p>
            <w:pPr>
              <w:spacing w:after="40" w:before="40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检查登录后是否设置了 user_id 参数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User-ID 已启用且登录用户均已设置</w:t>
            </w:r>
          </w:p>
        </w:tc>
      </w:tr>
      <w:tr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4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过滤规则</w:t>
            </w:r>
          </w:p>
        </w:tc>
        <w:tc>
          <w:tcPr>
            <w:tcW w:type="dxa" w:w="4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GA4 &gt; 管理 &gt; 数据过滤</w:t>
            </w:r>
          </w:p>
          <w:p>
            <w:pPr>
              <w:spacing w:after="40" w:before="40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检查是否有过滤规则影响了目标事件</w:t>
            </w:r>
          </w:p>
          <w:p>
            <w:pPr>
              <w:spacing w:after="40" w:before="40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确认内部流量过滤规则不会过滤正常用户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过滤规则仅针对目标流量，不影响正常数据</w:t>
            </w:r>
          </w:p>
        </w:tc>
      </w:tr>
    </w:tbl>
    <w:p>
      <w:r>
        <w:br w:type="page"/>
      </w:r>
    </w:p>
    <w:p>
      <w:pPr>
        <w:pStyle w:val="Heading1"/>
        <w:spacing w:after="200" w:before="360"/>
      </w:pPr>
      <w:r>
        <w:rPr>
          <w:rFonts w:ascii="Arial" w:cs="Arial" w:eastAsia="Arial" w:hAnsi="Arial"/>
          <w:b/>
          <w:bCs/>
          <w:color w:val="1B3A5C"/>
          <w:sz w:val="32"/>
          <w:szCs w:val="32"/>
        </w:rPr>
        <w:t xml:space="preserve">5  事件与转化数据问题</w:t>
      </w:r>
    </w:p>
    <w:p>
      <w:pPr>
        <w:pStyle w:val="Heading2"/>
        <w:spacing w:after="160" w:before="280"/>
      </w:pPr>
      <w:r>
        <w:rPr>
          <w:rFonts w:ascii="Arial" w:cs="Arial" w:eastAsia="Arial" w:hAnsi="Arial"/>
          <w:b/>
          <w:bCs/>
          <w:color w:val="2E5A88"/>
          <w:sz w:val="26"/>
          <w:szCs w:val="26"/>
        </w:rPr>
        <w:t xml:space="preserve">5.1  问题描述</w:t>
      </w:r>
    </w:p>
    <w:p>
      <w:pPr>
        <w:spacing w:after="80" w:before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20"/>
          <w:szCs w:val="20"/>
        </w:rPr>
        <w:t xml:space="preserve">关键事件（如 purchase、sign_up、add_to_cart）未被触发或参数缺失，导致转化漏斗不准确、转化数据与实际业务数据不匹配。</w:t>
      </w:r>
    </w:p>
    <w:p>
      <w:pPr>
        <w:pStyle w:val="Heading2"/>
        <w:spacing w:after="160" w:before="280"/>
      </w:pPr>
      <w:r>
        <w:rPr>
          <w:rFonts w:ascii="Arial" w:cs="Arial" w:eastAsia="Arial" w:hAnsi="Arial"/>
          <w:b/>
          <w:bCs/>
          <w:color w:val="2E5A88"/>
          <w:sz w:val="26"/>
          <w:szCs w:val="26"/>
        </w:rPr>
        <w:t xml:space="preserve">5.2  根因分析</w:t>
      </w:r>
    </w:p>
    <w:p>
      <w:pPr>
        <w:pStyle w:val="Heading3"/>
        <w:spacing w:after="120" w:before="200"/>
      </w:pPr>
      <w:r>
        <w:rPr>
          <w:rFonts w:ascii="Arial" w:cs="Arial" w:eastAsia="Arial" w:hAnsi="Arial"/>
          <w:b/>
          <w:bCs/>
          <w:color w:val="3A7CA5"/>
          <w:sz w:val="22"/>
          <w:szCs w:val="22"/>
        </w:rPr>
        <w:t xml:space="preserve">根因 1：增强度量配置问题</w:t>
      </w:r>
    </w:p>
    <w:p>
      <w:pPr>
        <w:spacing w:after="80" w:before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20"/>
          <w:szCs w:val="20"/>
        </w:rPr>
        <w:t xml:space="preserve">GA4 的增强度量（Enhanced Measurement）可能导致事件重复触发。例如，如果同时通过 GTM 和增强度量触发了 page_view，将导致数据重复计算。</w:t>
      </w:r>
    </w:p>
    <w:p>
      <w:pPr>
        <w:pStyle w:val="Heading3"/>
        <w:spacing w:after="120" w:before="200"/>
      </w:pPr>
      <w:r>
        <w:rPr>
          <w:rFonts w:ascii="Arial" w:cs="Arial" w:eastAsia="Arial" w:hAnsi="Arial"/>
          <w:b/>
          <w:bCs/>
          <w:color w:val="3A7CA5"/>
          <w:sz w:val="22"/>
          <w:szCs w:val="22"/>
        </w:rPr>
        <w:t xml:space="preserve">根因 2：事件参数缺失</w:t>
      </w:r>
    </w:p>
    <w:p>
      <w:pPr>
        <w:spacing w:after="80" w:before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20"/>
          <w:szCs w:val="20"/>
        </w:rPr>
        <w:t xml:space="preserve">自定义事件的参数（如价格、货币、商品 ID）未被正确传递，导致电子商务报告中的收入数据不完整。</w:t>
      </w:r>
    </w:p>
    <w:p>
      <w:pPr>
        <w:pStyle w:val="Heading3"/>
        <w:spacing w:after="120" w:before="200"/>
      </w:pPr>
      <w:r>
        <w:rPr>
          <w:rFonts w:ascii="Arial" w:cs="Arial" w:eastAsia="Arial" w:hAnsi="Arial"/>
          <w:b/>
          <w:bCs/>
          <w:color w:val="3A7CA5"/>
          <w:sz w:val="22"/>
          <w:szCs w:val="22"/>
        </w:rPr>
        <w:t xml:space="preserve">根因 3：转化事件未标记</w:t>
      </w:r>
    </w:p>
    <w:p>
      <w:pPr>
        <w:spacing w:after="80" w:before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20"/>
          <w:szCs w:val="20"/>
        </w:rPr>
        <w:t xml:space="preserve">关键转化事件（如 purchase）未被正确触发或未被标记为转化事件，导致转化报告中缺失数据。</w:t>
      </w:r>
    </w:p>
    <w:p>
      <w:pPr>
        <w:pStyle w:val="Heading3"/>
        <w:spacing w:after="120" w:before="200"/>
      </w:pPr>
      <w:r>
        <w:rPr>
          <w:rFonts w:ascii="Arial" w:cs="Arial" w:eastAsia="Arial" w:hAnsi="Arial"/>
          <w:b/>
          <w:bCs/>
          <w:color w:val="3A7CA5"/>
          <w:sz w:val="22"/>
          <w:szCs w:val="22"/>
        </w:rPr>
        <w:t xml:space="preserve">根因 4：导航时机问题</w:t>
      </w:r>
    </w:p>
    <w:p>
      <w:pPr>
        <w:spacing w:after="80" w:before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20"/>
          <w:szCs w:val="20"/>
        </w:rPr>
        <w:t xml:space="preserve">在多页面应用中，用户可能在不同页面上完成转化，但 GA4 仅记录最后一个页面的事件。如果转化事件触发时机不对，将导致归因错误。</w:t>
      </w:r>
    </w:p>
    <w:p>
      <w:pPr>
        <w:pStyle w:val="Heading2"/>
        <w:spacing w:after="160" w:before="280"/>
      </w:pPr>
      <w:r>
        <w:rPr>
          <w:rFonts w:ascii="Arial" w:cs="Arial" w:eastAsia="Arial" w:hAnsi="Arial"/>
          <w:b/>
          <w:bCs/>
          <w:color w:val="2E5A88"/>
          <w:sz w:val="26"/>
          <w:szCs w:val="26"/>
        </w:rPr>
        <w:t xml:space="preserve">5.3  排查步骤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1400"/>
        <w:gridCol w:w="4360"/>
        <w:gridCol w:w="3000"/>
      </w:tblGrid>
      <w:tr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B3A5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步骤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B3A5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检查项</w:t>
            </w:r>
          </w:p>
        </w:tc>
        <w:tc>
          <w:tcPr>
            <w:tcW w:type="dxa" w:w="4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B3A5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操作说明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B3A5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判断标准</w:t>
            </w:r>
          </w:p>
        </w:tc>
      </w:tr>
      <w:tr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1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增强度量</w:t>
            </w:r>
          </w:p>
        </w:tc>
        <w:tc>
          <w:tcPr>
            <w:tcW w:type="dxa" w:w="4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GA4 &gt; 管理 &gt; 数据流 &gt; 增强度量</w:t>
            </w:r>
          </w:p>
          <w:p>
            <w:pPr>
              <w:spacing w:after="40" w:before="40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检查是否与 GTM 事件重复</w:t>
            </w:r>
          </w:p>
          <w:p>
            <w:pPr>
              <w:spacing w:after="40" w:before="40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如有重复，关闭增强度量中的对应项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每个事件仅触发一次</w:t>
            </w:r>
          </w:p>
        </w:tc>
      </w:tr>
      <w:tr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2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事件参数</w:t>
            </w:r>
          </w:p>
        </w:tc>
        <w:tc>
          <w:tcPr>
            <w:tcW w:type="dxa" w:w="4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使用 GA4 DebugView 检查事件参数</w:t>
            </w:r>
          </w:p>
          <w:p>
            <w:pPr>
              <w:spacing w:after="40" w:before="40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确认商品、价格、货币等参数是否完整</w:t>
            </w:r>
          </w:p>
          <w:p>
            <w:pPr>
              <w:spacing w:after="40" w:before="40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对比 GA4 数据与实际业务数据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事件参数与业务数据一致</w:t>
            </w:r>
          </w:p>
        </w:tc>
      </w:tr>
      <w:tr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3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转化标记</w:t>
            </w:r>
          </w:p>
        </w:tc>
        <w:tc>
          <w:tcPr>
            <w:tcW w:type="dxa" w:w="4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GA4 &gt; 管理 &gt; 事件</w:t>
            </w:r>
          </w:p>
          <w:p>
            <w:pPr>
              <w:spacing w:after="40" w:before="40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确认关键事件已标记为转化</w:t>
            </w:r>
          </w:p>
          <w:p>
            <w:pPr>
              <w:spacing w:after="40" w:before="40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检查转化事件的作用域设置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所有关键事件均已标记为转化</w:t>
            </w:r>
          </w:p>
        </w:tc>
      </w:tr>
      <w:tr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4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GTM 触发器</w:t>
            </w:r>
          </w:p>
        </w:tc>
        <w:tc>
          <w:tcPr>
            <w:tcW w:type="dxa" w:w="4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GTM Preview 模式中测试转化流程</w:t>
            </w:r>
          </w:p>
          <w:p>
            <w:pPr>
              <w:spacing w:after="40" w:before="40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检查触发条件和触发频率</w:t>
            </w:r>
          </w:p>
          <w:p>
            <w:pPr>
              <w:spacing w:after="40" w:before="40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确认触发器没有过滤掉合法事件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触发器正确触发所有转化事件</w:t>
            </w:r>
          </w:p>
        </w:tc>
      </w:tr>
    </w:tbl>
    <w:p>
      <w:r>
        <w:br w:type="page"/>
      </w:r>
    </w:p>
    <w:p>
      <w:pPr>
        <w:pStyle w:val="Heading1"/>
        <w:spacing w:after="200" w:before="360"/>
      </w:pPr>
      <w:r>
        <w:rPr>
          <w:rFonts w:ascii="Arial" w:cs="Arial" w:eastAsia="Arial" w:hAnsi="Arial"/>
          <w:b/>
          <w:bCs/>
          <w:color w:val="1B3A5C"/>
          <w:sz w:val="32"/>
          <w:szCs w:val="32"/>
        </w:rPr>
        <w:t xml:space="preserve">6  页面与内容数据 (not set)</w:t>
      </w:r>
    </w:p>
    <w:p>
      <w:pPr>
        <w:pStyle w:val="Heading2"/>
        <w:spacing w:after="160" w:before="280"/>
      </w:pPr>
      <w:r>
        <w:rPr>
          <w:rFonts w:ascii="Arial" w:cs="Arial" w:eastAsia="Arial" w:hAnsi="Arial"/>
          <w:b/>
          <w:bCs/>
          <w:color w:val="2E5A88"/>
          <w:sz w:val="26"/>
          <w:szCs w:val="26"/>
        </w:rPr>
        <w:t xml:space="preserve">6.1  Landing Page (not set)</w:t>
      </w:r>
    </w:p>
    <w:p>
      <w:pPr>
        <w:spacing w:after="80" w:before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20"/>
          <w:szCs w:val="20"/>
        </w:rPr>
        <w:t xml:space="preserve">当用户打开页面后超过 30 分钟未刷新或点击内链，GA4 会将其视为新会话，但由于未触发新的 page_view 事件，Landing Page 将显示为 (not set)。</w:t>
      </w:r>
    </w:p>
    <w:p>
      <w:pPr>
        <w:spacing w:after="80" w:before="80"/>
      </w:pPr>
      <w:r>
        <w:rPr>
          <w:rFonts w:ascii="Arial" w:cs="Arial" w:eastAsia="Arial" w:hAnsi="Arial"/>
          <w:b/>
          <w:bCs/>
          <w:i w:val="false"/>
          <w:iCs w:val="false"/>
          <w:color w:val="333333"/>
          <w:sz w:val="20"/>
          <w:szCs w:val="20"/>
        </w:rPr>
        <w:t xml:space="preserve">修复方案：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333333"/>
          <w:sz w:val="20"/>
          <w:szCs w:val="20"/>
        </w:rPr>
        <w:t xml:space="preserve">调整会话超时时间：GA4 &gt; 管理 &gt; 数据流 &gt; 配置 &gt; 显示更多 &gt; 调整会话超时（范围：5 分钟 ~ 7 小时 55 分钟）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333333"/>
          <w:sz w:val="20"/>
          <w:szCs w:val="20"/>
        </w:rPr>
        <w:t xml:space="preserve">注意：调整会话超时可以减少但无法完全消除该问题</w:t>
      </w:r>
    </w:p>
    <w:p>
      <w:pPr>
        <w:pStyle w:val="Heading2"/>
        <w:spacing w:after="160" w:before="280"/>
      </w:pPr>
      <w:r>
        <w:rPr>
          <w:rFonts w:ascii="Arial" w:cs="Arial" w:eastAsia="Arial" w:hAnsi="Arial"/>
          <w:b/>
          <w:bCs/>
          <w:color w:val="2E5A88"/>
          <w:sz w:val="26"/>
          <w:szCs w:val="26"/>
        </w:rPr>
        <w:t xml:space="preserve">6.2  Page Title (not set)</w:t>
      </w:r>
    </w:p>
    <w:p>
      <w:pPr>
        <w:spacing w:after="80" w:before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20"/>
          <w:szCs w:val="20"/>
        </w:rPr>
        <w:t xml:space="preserve">页面标题显示为 (not set)，通常是因为：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333333"/>
          <w:sz w:val="20"/>
          <w:szCs w:val="20"/>
        </w:rPr>
        <w:t xml:space="preserve">页面 HTML 中缺少 &lt;title&gt; 标签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333333"/>
          <w:sz w:val="20"/>
          <w:szCs w:val="20"/>
        </w:rPr>
        <w:t xml:space="preserve">GA4 跟踪代码的加载时机早于 &lt;title&gt; 标签的加载（较为罕见）</w:t>
      </w:r>
    </w:p>
    <w:p>
      <w:pPr>
        <w:spacing w:after="80" w:before="80"/>
      </w:pPr>
      <w:r>
        <w:rPr>
          <w:rFonts w:ascii="Arial" w:cs="Arial" w:eastAsia="Arial" w:hAnsi="Arial"/>
          <w:b/>
          <w:bCs/>
          <w:i w:val="false"/>
          <w:iCs w:val="false"/>
          <w:color w:val="333333"/>
          <w:sz w:val="20"/>
          <w:szCs w:val="20"/>
        </w:rPr>
        <w:t xml:space="preserve">修复方案：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333333"/>
          <w:sz w:val="20"/>
          <w:szCs w:val="20"/>
        </w:rPr>
        <w:t xml:space="preserve">检查所有页面是否都包含 &lt;title&gt; 标签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333333"/>
          <w:sz w:val="20"/>
          <w:szCs w:val="20"/>
        </w:rPr>
        <w:t xml:space="preserve">将 GA4 跟踪代码放置在 &lt;head&gt; 标签的尾部，确保 &lt;title&gt; 已加载</w:t>
      </w:r>
    </w:p>
    <w:p>
      <w:pPr>
        <w:pStyle w:val="Heading2"/>
        <w:spacing w:after="160" w:before="280"/>
      </w:pPr>
      <w:r>
        <w:rPr>
          <w:rFonts w:ascii="Arial" w:cs="Arial" w:eastAsia="Arial" w:hAnsi="Arial"/>
          <w:b/>
          <w:bCs/>
          <w:color w:val="2E5A88"/>
          <w:sz w:val="26"/>
          <w:szCs w:val="26"/>
        </w:rPr>
        <w:t xml:space="preserve">6.3  Page URL 异常</w:t>
      </w:r>
    </w:p>
    <w:p>
      <w:pPr>
        <w:spacing w:after="80" w:before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20"/>
          <w:szCs w:val="20"/>
        </w:rPr>
        <w:t xml:space="preserve">页面 URL 显示为异常值（如 javascript:void(0)、#、about:blank），通常是因为：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333333"/>
          <w:sz w:val="20"/>
          <w:szCs w:val="20"/>
        </w:rPr>
        <w:t xml:space="preserve">链接使用了 javascript: 协议而非正常 URL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333333"/>
          <w:sz w:val="20"/>
          <w:szCs w:val="20"/>
        </w:rPr>
        <w:t xml:space="preserve">单页应用中的哈希路由变化未被 GA4 正确捕获</w:t>
      </w:r>
    </w:p>
    <w:p>
      <w:pPr>
        <w:spacing w:after="80" w:before="80"/>
      </w:pPr>
      <w:r>
        <w:rPr>
          <w:rFonts w:ascii="Arial" w:cs="Arial" w:eastAsia="Arial" w:hAnsi="Arial"/>
          <w:b/>
          <w:bCs/>
          <w:i w:val="false"/>
          <w:iCs w:val="false"/>
          <w:color w:val="333333"/>
          <w:sz w:val="20"/>
          <w:szCs w:val="20"/>
        </w:rPr>
        <w:t xml:space="preserve">修复方案：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333333"/>
          <w:sz w:val="20"/>
          <w:szCs w:val="20"/>
        </w:rPr>
        <w:t xml:space="preserve">对于 SPA，确保在路由变化时手动触发 page_view 事件，并设置正确的 page_location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333333"/>
          <w:sz w:val="20"/>
          <w:szCs w:val="20"/>
        </w:rPr>
        <w:t xml:space="preserve">修复所有 javascript:void(0) 链接，替换为正常的 href 或使用事件监听</w:t>
      </w:r>
    </w:p>
    <w:p>
      <w:r>
        <w:br w:type="page"/>
      </w:r>
    </w:p>
    <w:p>
      <w:pPr>
        <w:pStyle w:val="Heading1"/>
        <w:spacing w:after="200" w:before="360"/>
      </w:pPr>
      <w:r>
        <w:rPr>
          <w:rFonts w:ascii="Arial" w:cs="Arial" w:eastAsia="Arial" w:hAnsi="Arial"/>
          <w:b/>
          <w:bCs/>
          <w:color w:val="1B3A5C"/>
          <w:sz w:val="32"/>
          <w:szCs w:val="32"/>
        </w:rPr>
        <w:t xml:space="preserve">7  广告归因数据 (not set)</w:t>
      </w:r>
    </w:p>
    <w:p>
      <w:pPr>
        <w:pStyle w:val="Heading2"/>
        <w:spacing w:after="160" w:before="280"/>
      </w:pPr>
      <w:r>
        <w:rPr>
          <w:rFonts w:ascii="Arial" w:cs="Arial" w:eastAsia="Arial" w:hAnsi="Arial"/>
          <w:b/>
          <w:bCs/>
          <w:color w:val="2E5A88"/>
          <w:sz w:val="26"/>
          <w:szCs w:val="26"/>
        </w:rPr>
        <w:t xml:space="preserve">7.1  Google Ads 归因 (not set)</w:t>
      </w:r>
    </w:p>
    <w:p>
      <w:pPr>
        <w:spacing w:after="80" w:before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20"/>
          <w:szCs w:val="20"/>
        </w:rPr>
        <w:t xml:space="preserve">在 GA4 报告中，Google Ads 相关数据显示为 (not set)，导致无法评估广告效果。</w:t>
      </w:r>
    </w:p>
    <w:p>
      <w:pPr>
        <w:pStyle w:val="Heading3"/>
        <w:spacing w:after="120" w:before="200"/>
      </w:pPr>
      <w:r>
        <w:rPr>
          <w:rFonts w:ascii="Arial" w:cs="Arial" w:eastAsia="Arial" w:hAnsi="Arial"/>
          <w:b/>
          <w:bCs/>
          <w:color w:val="3A7CA5"/>
          <w:sz w:val="22"/>
          <w:szCs w:val="22"/>
        </w:rPr>
        <w:t xml:space="preserve">根因分析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333333"/>
          <w:sz w:val="20"/>
          <w:szCs w:val="20"/>
        </w:rPr>
        <w:t xml:space="preserve">Google Ads 账户未与 GA4 关联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333333"/>
          <w:sz w:val="20"/>
          <w:szCs w:val="20"/>
        </w:rPr>
        <w:t xml:space="preserve">Google Ads 中的自动标记（Auto Tagging）未启用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333333"/>
          <w:sz w:val="20"/>
          <w:szCs w:val="20"/>
        </w:rPr>
        <w:t xml:space="preserve">UTM 参数与自动标记参数冲突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333333"/>
          <w:sz w:val="20"/>
          <w:szCs w:val="20"/>
        </w:rPr>
        <w:t xml:space="preserve">Consent Mode 导致 ad_storage 被拒绝</w:t>
      </w:r>
    </w:p>
    <w:p>
      <w:pPr>
        <w:pStyle w:val="Heading3"/>
        <w:spacing w:after="120" w:before="200"/>
      </w:pPr>
      <w:r>
        <w:rPr>
          <w:rFonts w:ascii="Arial" w:cs="Arial" w:eastAsia="Arial" w:hAnsi="Arial"/>
          <w:b/>
          <w:bCs/>
          <w:color w:val="3A7CA5"/>
          <w:sz w:val="22"/>
          <w:szCs w:val="22"/>
        </w:rPr>
        <w:t xml:space="preserve">修复方案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cs="Arial" w:eastAsia="Arial" w:hAnsi="Arial"/>
          <w:color w:val="333333"/>
          <w:sz w:val="20"/>
          <w:szCs w:val="20"/>
        </w:rPr>
        <w:t xml:space="preserve">关联 Google Ads 与 GA4：GA4 &gt; 管理 &gt; Google Ads 关联 &gt; 关联账户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cs="Arial" w:eastAsia="Arial" w:hAnsi="Arial"/>
          <w:color w:val="333333"/>
          <w:sz w:val="20"/>
          <w:szCs w:val="20"/>
        </w:rPr>
        <w:t xml:space="preserve">启用自动标记：Google Ads &gt; 设置 &gt; 账户设置 &gt; 自动标记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cs="Arial" w:eastAsia="Arial" w:hAnsi="Arial"/>
          <w:color w:val="333333"/>
          <w:sz w:val="20"/>
          <w:szCs w:val="20"/>
        </w:rPr>
        <w:t xml:space="preserve">避免混用：使用自动标记时，不要同时手动添加 UTM 参数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cs="Arial" w:eastAsia="Arial" w:hAnsi="Arial"/>
          <w:color w:val="333333"/>
          <w:sz w:val="20"/>
          <w:szCs w:val="20"/>
        </w:rPr>
        <w:t xml:space="preserve">配置增强度量转化：启用增强度量转化以提高归因准确性</w:t>
      </w:r>
    </w:p>
    <w:p>
      <w:pPr>
        <w:pStyle w:val="Heading2"/>
        <w:spacing w:after="160" w:before="280"/>
      </w:pPr>
      <w:r>
        <w:rPr>
          <w:rFonts w:ascii="Arial" w:cs="Arial" w:eastAsia="Arial" w:hAnsi="Arial"/>
          <w:b/>
          <w:bCs/>
          <w:color w:val="2E5A88"/>
          <w:sz w:val="26"/>
          <w:szCs w:val="26"/>
        </w:rPr>
        <w:t xml:space="preserve">7.2  其他广告平台归因</w:t>
      </w:r>
    </w:p>
    <w:p>
      <w:pPr>
        <w:spacing w:after="80" w:before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20"/>
          <w:szCs w:val="20"/>
        </w:rPr>
        <w:t xml:space="preserve">对于 Meta Ads、TikTok Ads 等第三方广告平台：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333333"/>
          <w:sz w:val="20"/>
          <w:szCs w:val="20"/>
        </w:rPr>
        <w:t xml:space="preserve">确保所有广告链接均包含完整的 UTM 参数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333333"/>
          <w:sz w:val="20"/>
          <w:szCs w:val="20"/>
        </w:rPr>
        <w:t xml:space="preserve">检查广告平台的点击跟踪 URL 是否正确配置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333333"/>
          <w:sz w:val="20"/>
          <w:szCs w:val="20"/>
        </w:rPr>
        <w:t xml:space="preserve">确认广告平台的延迟归因窗口与 GA4 的归因窗口匹配</w:t>
      </w:r>
    </w:p>
    <w:p>
      <w:r>
        <w:br w:type="page"/>
      </w:r>
    </w:p>
    <w:p>
      <w:pPr>
        <w:pStyle w:val="Heading1"/>
        <w:spacing w:after="200" w:before="360"/>
      </w:pPr>
      <w:r>
        <w:rPr>
          <w:rFonts w:ascii="Arial" w:cs="Arial" w:eastAsia="Arial" w:hAnsi="Arial"/>
          <w:b/>
          <w:bCs/>
          <w:color w:val="1B3A5C"/>
          <w:sz w:val="32"/>
          <w:szCs w:val="32"/>
        </w:rPr>
        <w:t xml:space="preserve">8  技术配置全面审计</w:t>
      </w:r>
    </w:p>
    <w:p>
      <w:pPr>
        <w:pStyle w:val="Heading2"/>
        <w:spacing w:after="160" w:before="280"/>
      </w:pPr>
      <w:r>
        <w:rPr>
          <w:rFonts w:ascii="Arial" w:cs="Arial" w:eastAsia="Arial" w:hAnsi="Arial"/>
          <w:b/>
          <w:bCs/>
          <w:color w:val="2E5A88"/>
          <w:sz w:val="26"/>
          <w:szCs w:val="26"/>
        </w:rPr>
        <w:t xml:space="preserve">8.1  跟踪代码部署审计</w:t>
      </w:r>
    </w:p>
    <w:p>
      <w:pPr>
        <w:pStyle w:val="Heading3"/>
        <w:spacing w:after="120" w:before="200"/>
      </w:pPr>
      <w:r>
        <w:rPr>
          <w:rFonts w:ascii="Arial" w:cs="Arial" w:eastAsia="Arial" w:hAnsi="Arial"/>
          <w:b/>
          <w:bCs/>
          <w:color w:val="3A7CA5"/>
          <w:sz w:val="22"/>
          <w:szCs w:val="22"/>
        </w:rPr>
        <w:t xml:space="preserve">GTM 部署检查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2400"/>
        <w:gridCol w:w="6360"/>
      </w:tblGrid>
      <w:tr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B3A5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序号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B3A5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检查项</w:t>
            </w:r>
          </w:p>
        </w:tc>
        <w:tc>
          <w:tcPr>
            <w:tcW w:type="dxa" w:w="6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B3A5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操作说明</w:t>
            </w:r>
          </w:p>
        </w:tc>
      </w:tr>
      <w:tr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1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GTM 容器代码</w:t>
            </w:r>
          </w:p>
        </w:tc>
        <w:tc>
          <w:tcPr>
            <w:tcW w:type="dxa" w:w="6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检查所有页面是否都包含 GTM 容器代码</w:t>
            </w:r>
          </w:p>
          <w:p>
            <w:pPr>
              <w:spacing w:after="40" w:before="40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使用 Google Tag Assistant 或 GTM Preview 模式验证</w:t>
            </w:r>
          </w:p>
          <w:p>
            <w:pPr>
              <w:spacing w:after="40" w:before="40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确认 GTM 容器 ID 与正确的 GTM 工作区匹配</w:t>
            </w:r>
          </w:p>
        </w:tc>
      </w:tr>
      <w:tr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2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GA4 配置标签</w:t>
            </w:r>
          </w:p>
        </w:tc>
        <w:tc>
          <w:tcPr>
            <w:tcW w:type="dxa" w:w="6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GTM 中检查 GA4 Configuration 标签</w:t>
            </w:r>
          </w:p>
          <w:p>
            <w:pPr>
              <w:spacing w:after="40" w:before="40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确认测量 ID（Measurement ID）正确</w:t>
            </w:r>
          </w:p>
          <w:p>
            <w:pPr>
              <w:spacing w:after="40" w:before="40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检查是否发送到正确的数据流</w:t>
            </w:r>
          </w:p>
        </w:tc>
      </w:tr>
      <w:tr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3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触发器配置</w:t>
            </w:r>
          </w:p>
        </w:tc>
        <w:tc>
          <w:tcPr>
            <w:tcW w:type="dxa" w:w="6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检查所有触发器的触发条件和排除规则</w:t>
            </w:r>
          </w:p>
          <w:p>
            <w:pPr>
              <w:spacing w:after="40" w:before="40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确认没有过度限制导致事件丢失</w:t>
            </w:r>
          </w:p>
          <w:p>
            <w:pPr>
              <w:spacing w:after="40" w:before="40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检查触发频率设置是否合理</w:t>
            </w:r>
          </w:p>
        </w:tc>
      </w:tr>
      <w:tr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4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变量配置</w:t>
            </w:r>
          </w:p>
        </w:tc>
        <w:tc>
          <w:tcPr>
            <w:tcW w:type="dxa" w:w="6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检查 GTM 变量是否正确获取 DataLayer 数据</w:t>
            </w:r>
          </w:p>
          <w:p>
            <w:pPr>
              <w:spacing w:after="40" w:before="40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确认自定义变量的默认值设置合理</w:t>
            </w:r>
          </w:p>
          <w:p>
            <w:pPr>
              <w:spacing w:after="40" w:before="40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使用 GTM Preview 模式验证变量值</w:t>
            </w:r>
          </w:p>
        </w:tc>
      </w:tr>
    </w:tbl>
    <w:p>
      <w:pPr>
        <w:pStyle w:val="Heading3"/>
        <w:spacing w:after="120" w:before="200"/>
      </w:pPr>
      <w:r>
        <w:rPr>
          <w:rFonts w:ascii="Arial" w:cs="Arial" w:eastAsia="Arial" w:hAnsi="Arial"/>
          <w:b/>
          <w:bCs/>
          <w:color w:val="3A7CA5"/>
          <w:sz w:val="22"/>
          <w:szCs w:val="22"/>
        </w:rPr>
        <w:t xml:space="preserve">直接硬编码部署检查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333333"/>
          <w:sz w:val="20"/>
          <w:szCs w:val="20"/>
        </w:rPr>
        <w:t xml:space="preserve">确认 gtag.js 代码放置在 &lt;head&gt; 标签内，且紧跟在 &lt;title&gt; 标签之后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333333"/>
          <w:sz w:val="20"/>
          <w:szCs w:val="20"/>
        </w:rPr>
        <w:t xml:space="preserve">确认测量 ID 正确，且指向正确的 GA4 属性和数据流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333333"/>
          <w:sz w:val="20"/>
          <w:szCs w:val="20"/>
        </w:rPr>
        <w:t xml:space="preserve">确认所有页面均包含跟踪代码，没有遗漏</w:t>
      </w:r>
    </w:p>
    <w:p>
      <w:pPr>
        <w:pStyle w:val="Heading2"/>
        <w:spacing w:after="160" w:before="280"/>
      </w:pPr>
      <w:r>
        <w:rPr>
          <w:rFonts w:ascii="Arial" w:cs="Arial" w:eastAsia="Arial" w:hAnsi="Arial"/>
          <w:b/>
          <w:bCs/>
          <w:color w:val="2E5A88"/>
          <w:sz w:val="26"/>
          <w:szCs w:val="26"/>
        </w:rPr>
        <w:t xml:space="preserve">8.2  服务端跟踪（SST）审计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333333"/>
          <w:sz w:val="20"/>
          <w:szCs w:val="20"/>
        </w:rPr>
        <w:t xml:space="preserve">确认服务器容器正常运行，检查日志中是否有错误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333333"/>
          <w:sz w:val="20"/>
          <w:szCs w:val="20"/>
        </w:rPr>
        <w:t xml:space="preserve">确认客户端 IP 通过 X-Forwarded-For 正确传递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333333"/>
          <w:sz w:val="20"/>
          <w:szCs w:val="20"/>
        </w:rPr>
        <w:t xml:space="preserve">确认服务端与客户端的事件数据一致（避免重复计算）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333333"/>
          <w:sz w:val="20"/>
          <w:szCs w:val="20"/>
        </w:rPr>
        <w:t xml:space="preserve">检查服务端的数据过滤规则是否与客户端一致</w:t>
      </w:r>
    </w:p>
    <w:p>
      <w:pPr>
        <w:pStyle w:val="Heading2"/>
        <w:spacing w:after="160" w:before="280"/>
      </w:pPr>
      <w:r>
        <w:rPr>
          <w:rFonts w:ascii="Arial" w:cs="Arial" w:eastAsia="Arial" w:hAnsi="Arial"/>
          <w:b/>
          <w:bCs/>
          <w:color w:val="2E5A88"/>
          <w:sz w:val="26"/>
          <w:szCs w:val="26"/>
        </w:rPr>
        <w:t xml:space="preserve">8.3  App 端部署审计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0"/>
        <w:gridCol w:w="3680"/>
        <w:gridCol w:w="3680"/>
      </w:tblGrid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B3A5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平台</w:t>
            </w:r>
          </w:p>
        </w:tc>
        <w:tc>
          <w:tcPr>
            <w:tcW w:type="dxa" w:w="3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B3A5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检查项</w:t>
            </w:r>
          </w:p>
        </w:tc>
        <w:tc>
          <w:tcPr>
            <w:tcW w:type="dxa" w:w="3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B3A5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操作说明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iOS</w:t>
            </w:r>
          </w:p>
        </w:tc>
        <w:tc>
          <w:tcPr>
            <w:tcW w:type="dxa" w:w="3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Firebase SDK 版本</w:t>
            </w:r>
          </w:p>
        </w:tc>
        <w:tc>
          <w:tcPr>
            <w:tcW w:type="dxa" w:w="3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确认使用最新版 Google Analytics SDK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iOS</w:t>
            </w:r>
          </w:p>
        </w:tc>
        <w:tc>
          <w:tcPr>
            <w:tcW w:type="dxa" w:w="3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App Tracking Transparency</w:t>
            </w:r>
          </w:p>
        </w:tc>
        <w:tc>
          <w:tcPr>
            <w:tcW w:type="dxa" w:w="3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确认已请求 ATT 权限（如需广告归因）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Android</w:t>
            </w:r>
          </w:p>
        </w:tc>
        <w:tc>
          <w:tcPr>
            <w:tcW w:type="dxa" w:w="3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Google Play Services</w:t>
            </w:r>
          </w:p>
        </w:tc>
        <w:tc>
          <w:tcPr>
            <w:tcW w:type="dxa" w:w="3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确认设备已安装 Google Play 服务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Android</w:t>
            </w:r>
          </w:p>
        </w:tc>
        <w:tc>
          <w:tcPr>
            <w:tcW w:type="dxa" w:w="3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广告 ID 权限</w:t>
            </w:r>
          </w:p>
        </w:tc>
        <w:tc>
          <w:tcPr>
            <w:tcW w:type="dxa" w:w="3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检查是否请求了广告 ID 权限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通用</w:t>
            </w:r>
          </w:p>
        </w:tc>
        <w:tc>
          <w:tcPr>
            <w:tcW w:type="dxa" w:w="3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DebugView 验证</w:t>
            </w:r>
          </w:p>
        </w:tc>
        <w:tc>
          <w:tcPr>
            <w:tcW w:type="dxa" w:w="3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使用 GA4 DebugView 实时验证事件数据</w:t>
            </w:r>
          </w:p>
        </w:tc>
      </w:tr>
    </w:tbl>
    <w:p>
      <w:r>
        <w:br w:type="page"/>
      </w:r>
    </w:p>
    <w:p>
      <w:pPr>
        <w:pStyle w:val="Heading1"/>
        <w:spacing w:after="200" w:before="360"/>
      </w:pPr>
      <w:r>
        <w:rPr>
          <w:rFonts w:ascii="Arial" w:cs="Arial" w:eastAsia="Arial" w:hAnsi="Arial"/>
          <w:b/>
          <w:bCs/>
          <w:color w:val="1B3A5C"/>
          <w:sz w:val="32"/>
          <w:szCs w:val="32"/>
        </w:rPr>
        <w:t xml:space="preserve">9  快速诊断工具与命令</w:t>
      </w:r>
    </w:p>
    <w:p>
      <w:pPr>
        <w:pStyle w:val="Heading2"/>
        <w:spacing w:after="160" w:before="280"/>
      </w:pPr>
      <w:r>
        <w:rPr>
          <w:rFonts w:ascii="Arial" w:cs="Arial" w:eastAsia="Arial" w:hAnsi="Arial"/>
          <w:b/>
          <w:bCs/>
          <w:color w:val="2E5A88"/>
          <w:sz w:val="26"/>
          <w:szCs w:val="26"/>
        </w:rPr>
        <w:t xml:space="preserve">9.1  GA4 内置工具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6960"/>
      </w:tblGrid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B3A5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工具</w:t>
            </w:r>
          </w:p>
        </w:tc>
        <w:tc>
          <w:tcPr>
            <w:tcW w:type="dxa" w:w="6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B3A5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用途与操作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DebugView</w:t>
            </w:r>
          </w:p>
        </w:tc>
        <w:tc>
          <w:tcPr>
            <w:tcW w:type="dxa" w:w="6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实时查看事件数据流</w:t>
            </w:r>
          </w:p>
          <w:p>
            <w:pPr>
              <w:spacing w:after="40" w:before="40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路径：GA4 &gt; 管理 &gt; DebugView</w:t>
            </w:r>
          </w:p>
          <w:p>
            <w:pPr>
              <w:spacing w:after="40" w:before="40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需要安装 GA Debugger 扩展程序并开启调试模式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数据质量报告</w:t>
            </w:r>
          </w:p>
        </w:tc>
        <w:tc>
          <w:tcPr>
            <w:tcW w:type="dxa" w:w="6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查看数据质量警告</w:t>
            </w:r>
          </w:p>
          <w:p>
            <w:pPr>
              <w:spacing w:after="40" w:before="40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路径：GA4 &gt; 管理 &gt; 数据质量</w:t>
            </w:r>
          </w:p>
          <w:p>
            <w:pPr>
              <w:spacing w:after="40" w:before="40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可查看事件、参数、用户属性的警告信息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实时报告</w:t>
            </w:r>
          </w:p>
        </w:tc>
        <w:tc>
          <w:tcPr>
            <w:tcW w:type="dxa" w:w="6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查看过去 30 分钟的实时数据</w:t>
            </w:r>
          </w:p>
          <w:p>
            <w:pPr>
              <w:spacing w:after="40" w:before="40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路径：GA4 &gt; 报告 &gt; 实时</w:t>
            </w:r>
          </w:p>
          <w:p>
            <w:pPr>
              <w:spacing w:after="40" w:before="40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用于验证跟踪代码是否正常工作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BigQuery 导出</w:t>
            </w:r>
          </w:p>
        </w:tc>
        <w:tc>
          <w:tcPr>
            <w:tcW w:type="dxa" w:w="6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导出原始数据进行深度分析</w:t>
            </w:r>
          </w:p>
          <w:p>
            <w:pPr>
              <w:spacing w:after="40" w:before="40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路径：GA4 &gt; 管理 &gt; BigQuery 链接</w:t>
            </w:r>
          </w:p>
          <w:p>
            <w:pPr>
              <w:spacing w:after="40" w:before="40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可查看每个事件的完整参数，包括 (not set) 的具体数量</w:t>
            </w:r>
          </w:p>
        </w:tc>
      </w:tr>
    </w:tbl>
    <w:p>
      <w:pPr>
        <w:pStyle w:val="Heading2"/>
        <w:spacing w:after="160" w:before="280"/>
      </w:pPr>
      <w:r>
        <w:rPr>
          <w:rFonts w:ascii="Arial" w:cs="Arial" w:eastAsia="Arial" w:hAnsi="Arial"/>
          <w:b/>
          <w:bCs/>
          <w:color w:val="2E5A88"/>
          <w:sz w:val="26"/>
          <w:szCs w:val="26"/>
        </w:rPr>
        <w:t xml:space="preserve">9.2  第三方工具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6960"/>
      </w:tblGrid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B3A5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工具</w:t>
            </w:r>
          </w:p>
        </w:tc>
        <w:tc>
          <w:tcPr>
            <w:tcW w:type="dxa" w:w="6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B3A5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用途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Google Tag Assistant</w:t>
            </w:r>
          </w:p>
        </w:tc>
        <w:tc>
          <w:tcPr>
            <w:tcW w:type="dxa" w:w="6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验证 GA4 和 GTM 标签是否正确加载和触发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GTM Preview 模式</w:t>
            </w:r>
          </w:p>
        </w:tc>
        <w:tc>
          <w:tcPr>
            <w:tcW w:type="dxa" w:w="6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调试 GTM 触发器、变量和标签的执行顺序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GA Debugger 扩展</w:t>
            </w:r>
          </w:p>
        </w:tc>
        <w:tc>
          <w:tcPr>
            <w:tcW w:type="dxa" w:w="6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Chrome 扩展，开启后可在 DebugView 中查看实时事件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Redirect Detective</w:t>
            </w:r>
          </w:p>
        </w:tc>
        <w:tc>
          <w:tcPr>
            <w:tcW w:type="dxa" w:w="6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检查 URL 重定向链中是否保留了查询参数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Campaign URL Builder</w:t>
            </w:r>
          </w:p>
        </w:tc>
        <w:tc>
          <w:tcPr>
            <w:tcW w:type="dxa" w:w="6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Google 官方 UTM 链接生成工具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Ghostery / AdBlock</w:t>
            </w:r>
          </w:p>
        </w:tc>
        <w:tc>
          <w:tcPr>
            <w:tcW w:type="dxa" w:w="6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模拟广告拦截器环境，测试 Consent Mode 在广告被拦截时的表现</w:t>
            </w:r>
          </w:p>
        </w:tc>
      </w:tr>
    </w:tbl>
    <w:p>
      <w:pPr>
        <w:pStyle w:val="Heading2"/>
        <w:spacing w:after="160" w:before="280"/>
      </w:pPr>
      <w:r>
        <w:rPr>
          <w:rFonts w:ascii="Arial" w:cs="Arial" w:eastAsia="Arial" w:hAnsi="Arial"/>
          <w:b/>
          <w:bCs/>
          <w:color w:val="2E5A88"/>
          <w:sz w:val="26"/>
          <w:szCs w:val="26"/>
        </w:rPr>
        <w:t xml:space="preserve">9.3  BigQuery 诊断查询</w:t>
      </w:r>
    </w:p>
    <w:p>
      <w:pPr>
        <w:spacing w:after="80" w:before="80"/>
      </w:pPr>
      <w:r>
        <w:rPr>
          <w:rFonts w:ascii="Arial" w:cs="Arial" w:eastAsia="Arial" w:hAnsi="Arial"/>
          <w:b/>
          <w:bCs/>
          <w:i w:val="false"/>
          <w:iCs w:val="false"/>
          <w:color w:val="333333"/>
          <w:sz w:val="20"/>
          <w:szCs w:val="20"/>
        </w:rPr>
        <w:t xml:space="preserve">以下 SQL 可用于 BigQuery 中快速诊断 (not set) 的分布情况：</w:t>
      </w:r>
    </w:p>
    <w:p>
      <w:pPr>
        <w:spacing w:after="80" w:before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20"/>
          <w:szCs w:val="20"/>
        </w:rPr>
        <w:t xml:space="preserve">-- 查询各维度的 (not set) 分布</w:t>
      </w:r>
    </w:p>
    <w:p>
      <w:pPr>
        <w:spacing w:after="80" w:before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20"/>
          <w:szCs w:val="20"/>
        </w:rPr>
        <w:t xml:space="preserve">SELECT</w:t>
      </w:r>
    </w:p>
    <w:p>
      <w:pPr>
        <w:spacing w:after="80" w:before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20"/>
          <w:szCs w:val="20"/>
        </w:rPr>
        <w:t xml:space="preserve">  geo.city,</w:t>
      </w:r>
    </w:p>
    <w:p>
      <w:pPr>
        <w:spacing w:after="80" w:before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20"/>
          <w:szCs w:val="20"/>
        </w:rPr>
        <w:t xml:space="preserve">  traffic_source.source,</w:t>
      </w:r>
    </w:p>
    <w:p>
      <w:pPr>
        <w:spacing w:after="80" w:before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20"/>
          <w:szCs w:val="20"/>
        </w:rPr>
        <w:t xml:space="preserve">  traffic_source.medium,</w:t>
      </w:r>
    </w:p>
    <w:p>
      <w:pPr>
        <w:spacing w:after="80" w:before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20"/>
          <w:szCs w:val="20"/>
        </w:rPr>
        <w:t xml:space="preserve">  COUNT(*) as event_count</w:t>
      </w:r>
    </w:p>
    <w:p>
      <w:pPr>
        <w:spacing w:after="80" w:before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20"/>
          <w:szCs w:val="20"/>
        </w:rPr>
        <w:t xml:space="preserve">FROM `your_project.your_dataset.events_*`</w:t>
      </w:r>
    </w:p>
    <w:p>
      <w:pPr>
        <w:spacing w:after="80" w:before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20"/>
          <w:szCs w:val="20"/>
        </w:rPr>
        <w:t xml:space="preserve">WHERE _TABLE_SUFFIX BETWEEN '20260401' AND '20260429'</w:t>
      </w:r>
    </w:p>
    <w:p>
      <w:pPr>
        <w:spacing w:after="80" w:before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20"/>
          <w:szCs w:val="20"/>
        </w:rPr>
        <w:t xml:space="preserve">GROUP BY geo.city, traffic_source.source, traffic_source.medium</w:t>
      </w:r>
    </w:p>
    <w:p>
      <w:pPr>
        <w:spacing w:after="80" w:before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20"/>
          <w:szCs w:val="20"/>
        </w:rPr>
        <w:t xml:space="preserve">HAVING geo.city = '(not set)' OR traffic_source.source = '(not set)'</w:t>
      </w:r>
    </w:p>
    <w:p>
      <w:pPr>
        <w:spacing w:after="80" w:before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20"/>
          <w:szCs w:val="20"/>
        </w:rPr>
        <w:t xml:space="preserve">ORDER BY event_count DESC</w:t>
      </w:r>
    </w:p>
    <w:p>
      <w:r>
        <w:br w:type="page"/>
      </w:r>
    </w:p>
    <w:p>
      <w:pPr>
        <w:pStyle w:val="Heading1"/>
        <w:spacing w:after="200" w:before="360"/>
      </w:pPr>
      <w:r>
        <w:rPr>
          <w:rFonts w:ascii="Arial" w:cs="Arial" w:eastAsia="Arial" w:hAnsi="Arial"/>
          <w:b/>
          <w:bCs/>
          <w:color w:val="1B3A5C"/>
          <w:sz w:val="32"/>
          <w:szCs w:val="32"/>
        </w:rPr>
        <w:t xml:space="preserve">10  排查优先级与行动计划</w:t>
      </w:r>
    </w:p>
    <w:p>
      <w:pPr>
        <w:pStyle w:val="Heading2"/>
        <w:spacing w:after="160" w:before="280"/>
      </w:pPr>
      <w:r>
        <w:rPr>
          <w:rFonts w:ascii="Arial" w:cs="Arial" w:eastAsia="Arial" w:hAnsi="Arial"/>
          <w:b/>
          <w:bCs/>
          <w:color w:val="2E5A88"/>
          <w:sz w:val="26"/>
          <w:szCs w:val="26"/>
        </w:rPr>
        <w:t xml:space="preserve">10.1  优先级矩阵</w:t>
      </w:r>
    </w:p>
    <w:p>
      <w:pPr>
        <w:spacing w:after="80" w:before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20"/>
          <w:szCs w:val="20"/>
        </w:rPr>
        <w:t xml:space="preserve">根据问题的影响程度和修复难度，建议按以下优先级进行排查和修复：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0"/>
        <w:gridCol w:w="2600"/>
        <w:gridCol w:w="1600"/>
        <w:gridCol w:w="1600"/>
        <w:gridCol w:w="2360"/>
      </w:tblGrid>
      <w:tr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B3A5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优先级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B3A5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问题类型</w:t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B3A5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影响程度</w:t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B3A5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修复难度</w:t>
            </w:r>
          </w:p>
        </w:tc>
        <w:tc>
          <w:tcPr>
            <w:tcW w:type="dxa" w:w="2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B3A5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建议时间</w:t>
            </w:r>
          </w:p>
        </w:tc>
      </w:tr>
      <w:tr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D32F2F"/>
                <w:sz w:val="20"/>
                <w:szCs w:val="20"/>
              </w:rPr>
              <w:t xml:space="preserve">P0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跟踪代码未触发/重复</w:t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333333"/>
                <w:sz w:val="20"/>
                <w:szCs w:val="20"/>
              </w:rPr>
              <w:t xml:space="preserve">致命</w:t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低</w:t>
            </w:r>
          </w:p>
        </w:tc>
        <w:tc>
          <w:tcPr>
            <w:tcW w:type="dxa" w:w="2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立即修复</w:t>
            </w:r>
          </w:p>
        </w:tc>
      </w:tr>
      <w:tr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D32F2F"/>
                <w:sz w:val="20"/>
                <w:szCs w:val="20"/>
              </w:rPr>
              <w:t xml:space="preserve">P0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Consent Mode 未配置</w:t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333333"/>
                <w:sz w:val="20"/>
                <w:szCs w:val="20"/>
              </w:rPr>
              <w:t xml:space="preserve">致命</w:t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中</w:t>
            </w:r>
          </w:p>
        </w:tc>
        <w:tc>
          <w:tcPr>
            <w:tcW w:type="dxa" w:w="2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1-2 天</w:t>
            </w:r>
          </w:p>
        </w:tc>
      </w:tr>
      <w:tr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57C00"/>
                <w:sz w:val="20"/>
                <w:szCs w:val="20"/>
              </w:rPr>
              <w:t xml:space="preserve">P1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地理位置 (not set)</w:t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333333"/>
                <w:sz w:val="20"/>
                <w:szCs w:val="20"/>
              </w:rPr>
              <w:t xml:space="preserve">高</w:t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中</w:t>
            </w:r>
          </w:p>
        </w:tc>
        <w:tc>
          <w:tcPr>
            <w:tcW w:type="dxa" w:w="2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1-3 天</w:t>
            </w:r>
          </w:p>
        </w:tc>
      </w:tr>
      <w:tr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57C00"/>
                <w:sz w:val="20"/>
                <w:szCs w:val="20"/>
              </w:rPr>
              <w:t xml:space="preserve">P1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流量来源 (not set)</w:t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333333"/>
                <w:sz w:val="20"/>
                <w:szCs w:val="20"/>
              </w:rPr>
              <w:t xml:space="preserve">高</w:t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低</w:t>
            </w:r>
          </w:p>
        </w:tc>
        <w:tc>
          <w:tcPr>
            <w:tcW w:type="dxa" w:w="2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1-2 天</w:t>
            </w:r>
          </w:p>
        </w:tc>
      </w:tr>
      <w:tr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57C00"/>
                <w:sz w:val="20"/>
                <w:szCs w:val="20"/>
              </w:rPr>
              <w:t xml:space="preserve">P1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Google Ads 归因 (not set)</w:t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333333"/>
                <w:sz w:val="20"/>
                <w:szCs w:val="20"/>
              </w:rPr>
              <w:t xml:space="preserve">高</w:t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低</w:t>
            </w:r>
          </w:p>
        </w:tc>
        <w:tc>
          <w:tcPr>
            <w:tcW w:type="dxa" w:w="2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1 天</w:t>
            </w:r>
          </w:p>
        </w:tc>
      </w:tr>
      <w:tr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9A825"/>
                <w:sz w:val="20"/>
                <w:szCs w:val="20"/>
              </w:rPr>
              <w:t xml:space="preserve">P2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事件参数缺失</w:t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中</w:t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中</w:t>
            </w:r>
          </w:p>
        </w:tc>
        <w:tc>
          <w:tcPr>
            <w:tcW w:type="dxa" w:w="2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2-5 天</w:t>
            </w:r>
          </w:p>
        </w:tc>
      </w:tr>
      <w:tr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9A825"/>
                <w:sz w:val="20"/>
                <w:szCs w:val="20"/>
              </w:rPr>
              <w:t xml:space="preserve">P2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自定义维度 (not set)</w:t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中</w:t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中</w:t>
            </w:r>
          </w:p>
        </w:tc>
        <w:tc>
          <w:tcPr>
            <w:tcW w:type="dxa" w:w="2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2-5 天</w:t>
            </w:r>
          </w:p>
        </w:tc>
      </w:tr>
      <w:tr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388E3C"/>
                <w:sz w:val="20"/>
                <w:szCs w:val="20"/>
              </w:rPr>
              <w:t xml:space="preserve">P3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Landing Page (not set)</w:t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低</w:t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低</w:t>
            </w:r>
          </w:p>
        </w:tc>
        <w:tc>
          <w:tcPr>
            <w:tcW w:type="dxa" w:w="2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1 天</w:t>
            </w:r>
          </w:p>
        </w:tc>
      </w:tr>
      <w:tr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388E3C"/>
                <w:sz w:val="20"/>
                <w:szCs w:val="20"/>
              </w:rPr>
              <w:t xml:space="preserve">P3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Page Title (not set)</w:t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低</w:t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低</w:t>
            </w:r>
          </w:p>
        </w:tc>
        <w:tc>
          <w:tcPr>
            <w:tcW w:type="dxa" w:w="2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1 天</w:t>
            </w:r>
          </w:p>
        </w:tc>
      </w:tr>
    </w:tbl>
    <w:p>
      <w:pPr>
        <w:pStyle w:val="Heading2"/>
        <w:spacing w:after="160" w:before="280"/>
      </w:pPr>
      <w:r>
        <w:rPr>
          <w:rFonts w:ascii="Arial" w:cs="Arial" w:eastAsia="Arial" w:hAnsi="Arial"/>
          <w:b/>
          <w:bCs/>
          <w:color w:val="2E5A88"/>
          <w:sz w:val="26"/>
          <w:szCs w:val="26"/>
        </w:rPr>
        <w:t xml:space="preserve">10.2  持续监控建议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cs="Arial" w:eastAsia="Arial" w:hAnsi="Arial"/>
          <w:color w:val="333333"/>
          <w:sz w:val="20"/>
          <w:szCs w:val="20"/>
        </w:rPr>
        <w:t xml:space="preserve">建立周报机制：每周检查各维度的 (not set) 比例，设置告警阈值（建议 5%）。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cs="Arial" w:eastAsia="Arial" w:hAnsi="Arial"/>
          <w:color w:val="333333"/>
          <w:sz w:val="20"/>
          <w:szCs w:val="20"/>
        </w:rPr>
        <w:t xml:space="preserve">定期审计 UTM 参数：每月检查所有外部链接的 UTM 参数是否规范。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cs="Arial" w:eastAsia="Arial" w:hAnsi="Arial"/>
          <w:color w:val="333333"/>
          <w:sz w:val="20"/>
          <w:szCs w:val="20"/>
        </w:rPr>
        <w:t xml:space="preserve">监控 Consent 同意率：跟踪用户同意率变化，关注是否与 (not set) 比例变化相关。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cs="Arial" w:eastAsia="Arial" w:hAnsi="Arial"/>
          <w:color w:val="333333"/>
          <w:sz w:val="20"/>
          <w:szCs w:val="20"/>
        </w:rPr>
        <w:t xml:space="preserve">定期检查 GTM 配置：每月审计 GTM 工作区的变更历史，确认无误操作。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cs="Arial" w:eastAsia="Arial" w:hAnsi="Arial"/>
          <w:color w:val="333333"/>
          <w:sz w:val="20"/>
          <w:szCs w:val="20"/>
        </w:rPr>
        <w:t xml:space="preserve">BigQuery 定期分析：每月导出 BigQuery 数据进行深度分析，发现潜在问题。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2196F3" w:sz="2"/>
              <w:left w:val="single" w:color="2196F3" w:sz="6"/>
              <w:bottom w:val="single" w:color="CCCCCC" w:sz="1"/>
              <w:right w:val="single" w:color="CCCCCC" w:sz="1"/>
            </w:tcBorders>
            <w:shd w:fill="FBE9E7" w:val="clear"/>
            <w:tcMar>
              <w:top w:type="dxa" w:w="100"/>
              <w:left w:type="dxa" w:w="200"/>
              <w:bottom w:type="dxa" w:w="100"/>
              <w:right w:type="dxa" w:w="20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b/>
                <w:bCs/>
                <w:color w:val="1565C0"/>
                <w:sz w:val="20"/>
                <w:szCs w:val="20"/>
              </w:rPr>
              <w:t xml:space="preserve">重要提醒</w:t>
            </w:r>
          </w:p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小量 (not set) 是正常的（通常 &lt;1%），不需要过度优化。但如果某个维度的 (not set) 比例突然增加，应立即排查是否有新的配置变更导致的问题。</w:t>
            </w:r>
          </w:p>
        </w:tc>
      </w:tr>
    </w:tbl>
    <w:p>
      <w:r>
        <w:br w:type="page"/>
      </w:r>
    </w:p>
    <w:p>
      <w:pPr>
        <w:pStyle w:val="Heading1"/>
        <w:spacing w:after="200" w:before="360"/>
      </w:pPr>
      <w:r>
        <w:rPr>
          <w:rFonts w:ascii="Arial" w:cs="Arial" w:eastAsia="Arial" w:hAnsi="Arial"/>
          <w:b/>
          <w:bCs/>
          <w:color w:val="1B3A5C"/>
          <w:sz w:val="32"/>
          <w:szCs w:val="32"/>
        </w:rPr>
        <w:t xml:space="preserve">附录 A：(not set) 与 (not provided) 的区别</w:t>
      </w:r>
    </w:p>
    <w:p>
      <w:pPr>
        <w:spacing w:after="80" w:before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20"/>
          <w:szCs w:val="20"/>
        </w:rPr>
        <w:t xml:space="preserve">在 Google Analytics 中，(not set) 和 (not provided) 是两个不同的概念：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3480"/>
        <w:gridCol w:w="3480"/>
      </w:tblGrid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B3A5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/>
            </w:r>
          </w:p>
        </w:tc>
        <w:tc>
          <w:tcPr>
            <w:tcW w:type="dxa" w:w="34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B3A5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(not set)</w:t>
            </w:r>
          </w:p>
        </w:tc>
        <w:tc>
          <w:tcPr>
            <w:tcW w:type="dxa" w:w="34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B3A5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(not provided)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333333"/>
                <w:sz w:val="20"/>
                <w:szCs w:val="20"/>
              </w:rPr>
              <w:t xml:space="preserve">含义</w:t>
            </w:r>
          </w:p>
        </w:tc>
        <w:tc>
          <w:tcPr>
            <w:tcW w:type="dxa" w:w="34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GA 记录了数据，但无法匹配到维度值</w:t>
            </w:r>
          </w:p>
        </w:tc>
        <w:tc>
          <w:tcPr>
            <w:tcW w:type="dxa" w:w="34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GA 未接收到该数据，因为隐私限制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333333"/>
                <w:sz w:val="20"/>
                <w:szCs w:val="20"/>
              </w:rPr>
              <w:t xml:space="preserve">常见场景</w:t>
            </w:r>
          </w:p>
        </w:tc>
        <w:tc>
          <w:tcPr>
            <w:tcW w:type="dxa" w:w="34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UTM 参数缺失、配置错误</w:t>
            </w:r>
          </w:p>
        </w:tc>
        <w:tc>
          <w:tcPr>
            <w:tcW w:type="dxa" w:w="34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搜索关键词被搜索引擎加密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333333"/>
                <w:sz w:val="20"/>
                <w:szCs w:val="20"/>
              </w:rPr>
              <w:t xml:space="preserve">解决方向</w:t>
            </w:r>
          </w:p>
        </w:tc>
        <w:tc>
          <w:tcPr>
            <w:tcW w:type="dxa" w:w="34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修复配置和实施</w:t>
            </w:r>
          </w:p>
        </w:tc>
        <w:tc>
          <w:tcPr>
            <w:tcW w:type="dxa" w:w="34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无法解决，属于正常现象</w:t>
            </w:r>
          </w:p>
        </w:tc>
      </w:tr>
    </w:tbl>
    <w:p>
      <w:pPr>
        <w:pStyle w:val="Heading1"/>
        <w:spacing w:after="200" w:before="360"/>
      </w:pPr>
      <w:r>
        <w:rPr>
          <w:rFonts w:ascii="Arial" w:cs="Arial" w:eastAsia="Arial" w:hAnsi="Arial"/>
          <w:b/>
          <w:bCs/>
          <w:color w:val="1B3A5C"/>
          <w:sz w:val="32"/>
          <w:szCs w:val="32"/>
        </w:rPr>
        <w:t xml:space="preserve">附录 B：GA4 与 UA 的关键差异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3480"/>
        <w:gridCol w:w="3480"/>
      </w:tblGrid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B3A5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特性</w:t>
            </w:r>
          </w:p>
        </w:tc>
        <w:tc>
          <w:tcPr>
            <w:tcW w:type="dxa" w:w="34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B3A5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GA4</w:t>
            </w:r>
          </w:p>
        </w:tc>
        <w:tc>
          <w:tcPr>
            <w:tcW w:type="dxa" w:w="34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B3A5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UA (Universal Analytics)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333333"/>
                <w:sz w:val="20"/>
                <w:szCs w:val="20"/>
              </w:rPr>
              <w:t xml:space="preserve">数据模型</w:t>
            </w:r>
          </w:p>
        </w:tc>
        <w:tc>
          <w:tcPr>
            <w:tcW w:type="dxa" w:w="34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事件驱动（Event-driven）</w:t>
            </w:r>
          </w:p>
        </w:tc>
        <w:tc>
          <w:tcPr>
            <w:tcW w:type="dxa" w:w="34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会话驱动（Session-driven）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333333"/>
                <w:sz w:val="20"/>
                <w:szCs w:val="20"/>
              </w:rPr>
              <w:t xml:space="preserve">用户识别</w:t>
            </w:r>
          </w:p>
        </w:tc>
        <w:tc>
          <w:tcPr>
            <w:tcW w:type="dxa" w:w="34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基于 User ID 和设备 ID</w:t>
            </w:r>
          </w:p>
        </w:tc>
        <w:tc>
          <w:tcPr>
            <w:tcW w:type="dxa" w:w="34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基于 Client ID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333333"/>
                <w:sz w:val="20"/>
                <w:szCs w:val="20"/>
              </w:rPr>
              <w:t xml:space="preserve">(not set) 处理</w:t>
            </w:r>
          </w:p>
        </w:tc>
        <w:tc>
          <w:tcPr>
            <w:tcW w:type="dxa" w:w="34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所有缺失维度统一显示为 (not set)</w:t>
            </w:r>
          </w:p>
        </w:tc>
        <w:tc>
          <w:tcPr>
            <w:tcW w:type="dxa" w:w="34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同样显示为 (not set)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333333"/>
                <w:sz w:val="20"/>
                <w:szCs w:val="20"/>
              </w:rPr>
              <w:t xml:space="preserve">Consent Mode</w:t>
            </w:r>
          </w:p>
        </w:tc>
        <w:tc>
          <w:tcPr>
            <w:tcW w:type="dxa" w:w="34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原生支持，建议升级到 v2</w:t>
            </w:r>
          </w:p>
        </w:tc>
        <w:tc>
          <w:tcPr>
            <w:tcW w:type="dxa" w:w="34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不支持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333333"/>
                <w:sz w:val="20"/>
                <w:szCs w:val="20"/>
              </w:rPr>
              <w:t xml:space="preserve">数据状态</w:t>
            </w:r>
          </w:p>
        </w:tc>
        <w:tc>
          <w:tcPr>
            <w:tcW w:type="dxa" w:w="34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活跃维护中</w:t>
            </w:r>
          </w:p>
        </w:tc>
        <w:tc>
          <w:tcPr>
            <w:tcW w:type="dxa" w:w="34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已停止采集（2023.7）</w:t>
            </w:r>
          </w:p>
        </w:tc>
      </w:tr>
    </w:tbl>
    <w:sectPr>
      <w:headerReference w:type="default" r:id="rId10"/>
      <w:footerReference w:type="default" r:id="rId8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color w:val="999999"/>
        <w:sz w:val="16"/>
        <w:szCs w:val="16"/>
      </w:rPr>
      <w:t xml:space="preserve">— </w:t>
    </w:r>
    <w:r>
      <w:rPr>
        <w:rFonts w:ascii="Arial" w:cs="Arial" w:eastAsia="Arial" w:hAnsi="Arial"/>
        <w:color w:val="999999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999999"/>
        <w:sz w:val="16"/>
        <w:szCs w:val="16"/>
      </w:rPr>
      <w:t xml:space="preserve"> / </w:t>
    </w:r>
    <w:r>
      <w:rPr>
        <w:rFonts w:ascii="Arial" w:cs="Arial" w:eastAsia="Arial" w:hAnsi="Arial"/>
        <w:color w:val="999999"/>
        <w:sz w:val="16"/>
        <w:szCs w:val="16"/>
      </w:rPr>
      <w:fldChar w:fldCharType="begin"/>
      <w:instrText xml:space="preserve">NUMPAGES</w:instrText>
      <w:fldChar w:fldCharType="separate"/>
      <w:fldChar w:fldCharType="end"/>
    </w:r>
    <w:r>
      <w:rPr>
        <w:rFonts w:ascii="Arial" w:cs="Arial" w:eastAsia="Arial" w:hAnsi="Arial"/>
        <w:color w:val="999999"/>
        <w:sz w:val="16"/>
        <w:szCs w:val="16"/>
      </w:rPr>
      <w:t xml:space="preserve"> 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rFonts w:ascii="Arial" w:cs="Arial" w:eastAsia="Arial" w:hAnsi="Arial"/>
        <w:i/>
        <w:iCs/>
        <w:color w:val="999999"/>
        <w:sz w:val="16"/>
        <w:szCs w:val="16"/>
      </w:rPr>
      <w:t xml:space="preserve">Google Analytics 数据采集系统性排查手册</w:t>
    </w:r>
  </w:p>
</w:hdr>
</file>

<file path=word/header_watermark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a="http://schemas.openxmlformats.org/drawingml/2006/main" xmlns:wps="http://schemas.microsoft.com/office/word/2010/wordprocessingShape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0" allowOverlap="1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2200000" cy="350000"/>
              <wp:effectExtent l="0" t="0" r="0" b="0"/>
              <wp:wrapNone/>
              <wp:docPr id="1" name="Watermark"/>
              <a:graphic>
                <a:graphicData uri="http://schemas.microsoft.com/office/word/2010/wordprocessingShape">
                  <wps:wsp>
                    <wps:cNvSpPr txBox="1"/>
                    <wps:spPr>
                      <a:xfrm rot="0">
                        <a:off x="0" y="0"/>
                        <a:ext cx="2200000" cy="350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jc w:val="right"/>
                          </w:pPr>
                          <w:r>
                            <w:rPr>
                              <w:sz w:val="32"/>
                              <w:szCs w:val="32"/>
                              <w:rFonts w:eastAsia="SimSun" w:ascii="Arial" w:hAnsi="Arial"/>
                              <w:color w:val="808080"/>
                              <w14:textFill>
                                <w14:solidFill>
                                  <w14:srgbClr w14:val="808080">
                                    <w14:alpha w14:val="19999"/>
                                  </w14:srgbClr>
                                </w14:solidFill>
                              </w14:textFill>
                            </w:rPr>
                            <w:t>TRAE AI 生成</w:t>
                          </w:r>
                        </w:p>
                      </w:txbxContent>
                    </wps:txbx>
                    <wps:bodyPr wrap="square" anchor="b" anchorCtr="0" lIns="0" tIns="0" rIns="91440" bIns="45720"/>
                  </wps:wsp>
                </a:graphicData>
              </a:graphic>
            </wp:anchor>
          </w:drawing>
        </mc:Choice>
        <mc:Fallback/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  <w:lvl w:ilvl="1" w15:tentative="1">
      <w:start w:val="1"/>
      <w:numFmt w:val="bullet"/>
      <w:lvlText w:val="◦"/>
      <w:lvlJc w:val="left"/>
      <w:pPr>
        <w:ind w:left="144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200" w:before="360"/>
      <w:outlineLvl w:val="0"/>
    </w:pPr>
    <w:rPr>
      <w:rFonts w:ascii="Arial" w:cs="Arial" w:eastAsia="Arial" w:hAnsi="Arial"/>
      <w:b/>
      <w:bCs/>
      <w:color w:val="1B3A5C"/>
      <w:sz w:val="32"/>
      <w:szCs w:val="32"/>
    </w:rPr>
  </w:style>
  <w:style w:type="paragraph" w:styleId="Heading2">
    <w:name w:val="Heading 2"/>
    <w:basedOn w:val="Normal"/>
    <w:next w:val="Normal"/>
    <w:qFormat/>
    <w:pPr>
      <w:spacing w:after="160" w:before="280"/>
      <w:outlineLvl w:val="1"/>
    </w:pPr>
    <w:rPr>
      <w:rFonts w:ascii="Arial" w:cs="Arial" w:eastAsia="Arial" w:hAnsi="Arial"/>
      <w:b/>
      <w:bCs/>
      <w:color w:val="2E5A88"/>
      <w:sz w:val="26"/>
      <w:szCs w:val="26"/>
    </w:rPr>
  </w:style>
  <w:style w:type="paragraph" w:styleId="Heading3">
    <w:name w:val="Heading 3"/>
    <w:basedOn w:val="Normal"/>
    <w:next w:val="Normal"/>
    <w:qFormat/>
    <w:pPr>
      <w:spacing w:after="120" w:before="200"/>
      <w:outlineLvl w:val="2"/>
    </w:pPr>
    <w:rPr>
      <w:rFonts w:ascii="Arial" w:cs="Arial" w:eastAsia="Arial" w:hAnsi="Arial"/>
      <w:b/>
      <w:bCs/>
      <w:color w:val="3A7CA5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header" Target="header_watermark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2026-04-29T04:37:22.365Z</dcterms:created>
  <dcterms:modified xsi:type="dcterms:W3CDTF">2026-04-29T04:37:22.365Z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